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-756285</wp:posOffset>
                </wp:positionH>
                <wp:positionV relativeFrom="margin">
                  <wp:posOffset>622935</wp:posOffset>
                </wp:positionV>
                <wp:extent cx="6838950" cy="4448175"/>
                <wp:effectExtent l="19050" t="0" r="0" b="0"/>
                <wp:wrapSquare wrapText="bothSides"/>
                <wp:docPr id="1" name="Рисунок 1" descr="MM_shadow-people-il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MM_shadow-people-illus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38950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-59.55pt;mso-position-horizontal:absolute;mso-position-vertical-relative:margin;margin-top:49.05pt;mso-position-vertical:absolute;width:538.50pt;height:350.25pt;mso-wrap-distance-left:9.00pt;mso-wrap-distance-top:0.00pt;mso-wrap-distance-right:9.00pt;mso-wrap-distance-bottom:0.00pt;" stroked="f" strokeweight="0.75pt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ВЫПУСК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оказании услуг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сфере государственного кадастрового учета, государственной регистрации прав 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предоставления сведений из ЕГРН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ПРАВОВОГО ОБЕСПЕЧЕНИЯ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УПРАВЛЕНИЯ РОСРЕЕСТРА ПО 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contextualSpacing/>
        <w:ind w:firstLine="708"/>
        <w:jc w:val="both"/>
        <w:rPr>
          <w:rFonts w:ascii="Times New Roman" w:hAnsi="Times New Roman" w:eastAsia="Calibri" w:cs="Times New Roman"/>
          <w:b/>
          <w:bCs/>
          <w:color w:val="000000"/>
          <w14:ligatures w14:val="none"/>
        </w:rPr>
        <w:sectPr>
          <w:headerReference w:type="default" r:id="rId9"/>
          <w:headerReference w:type="first" r:id="rId10"/>
          <w:footerReference w:type="firs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highlight w:val="none"/>
          <w:shd w:val="clear" w:color="ffffff" w:themeColor="background1" w:fill="ffffff" w:themeFill="background1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</w:p>
    <w:p>
      <w:pPr>
        <w:pStyle w:val="968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Новости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одательства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\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/>
          <w:bCs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:lang w:eastAsia="ru-RU"/>
        </w:rPr>
        <w:t xml:space="preserve">1. Приказ Росреестра </w:t>
      </w:r>
      <w:r>
        <w:rPr>
          <w:b/>
          <w:bCs/>
          <w:color w:val="000000"/>
          <w:lang w:eastAsia="ru-RU"/>
        </w:rPr>
        <w:t xml:space="preserve">от </w:t>
      </w:r>
      <w:r>
        <w:rPr>
          <w:b/>
          <w:bCs/>
          <w:color w:val="000000"/>
          <w:lang w:eastAsia="ru-RU"/>
        </w:rPr>
        <w:t xml:space="preserve">24.07.2025 № П/0251/25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«</w:t>
      </w:r>
      <w:r>
        <w:rPr>
          <w:b/>
          <w:bCs/>
          <w:color w:val="000000"/>
          <w:lang w:eastAsia="ru-RU"/>
        </w:rPr>
        <w:t xml:space="preserve">О внесении изменений в некоторые приказы Федеральной службы государственной регистрации, кадастра и картографии в сфере предоставления сведений из Единого государственного реестра недвижимости</w:t>
      </w:r>
      <w:r>
        <w:rPr>
          <w:b/>
          <w:bCs/>
          <w:color w:val="000000"/>
          <w:lang w:eastAsia="ru-RU"/>
        </w:rPr>
        <w:t xml:space="preserve">»</w:t>
      </w:r>
      <w:r>
        <w:rPr>
          <w:b/>
          <w:bCs/>
          <w:color w:val="000000"/>
          <w:lang w:eastAsia="ru-RU"/>
        </w:rPr>
        <w:t xml:space="preserve">.</w:t>
      </w:r>
      <w:r>
        <w:rPr>
          <w:b/>
          <w:bCs/>
          <w:color w:val="000000"/>
          <w:lang w:eastAsia="ru-RU"/>
          <w14:ligatures w14:val="none"/>
        </w:rPr>
      </w:r>
      <w:r>
        <w:rPr>
          <w:b/>
          <w:bCs/>
          <w:color w:val="000000"/>
          <w:lang w:eastAsia="ru-RU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Внесены изменения в некоторые приказы Росреестра в сфере предоставления сведений из ЕГРН (04.11.2025).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 w:val="0"/>
          <w:bCs w:val="0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Отдельные изменения направлены на реализацию Федерального </w:t>
      </w:r>
      <w:r>
        <w:rPr>
          <w:b w:val="0"/>
          <w:bCs w:val="0"/>
          <w:color w:val="000000"/>
          <w:lang w:eastAsia="ru-RU"/>
        </w:rPr>
        <w:t xml:space="preserve">закона</w:t>
      </w:r>
      <w:r>
        <w:rPr>
          <w:b w:val="0"/>
          <w:bCs w:val="0"/>
          <w:color w:val="000000"/>
          <w:lang w:eastAsia="ru-RU"/>
        </w:rPr>
        <w:t xml:space="preserve"> от 23.11.2024 N 392-ФЗ, которым упразднен режим зон территориального развития.</w:t>
      </w:r>
      <w:r>
        <w:rPr>
          <w:b w:val="0"/>
          <w:bCs w:val="0"/>
          <w:color w:val="000000"/>
          <w14:ligatures w14:val="none"/>
        </w:rPr>
      </w:r>
      <w:r>
        <w:rPr>
          <w:b w:val="0"/>
          <w:bCs w:val="0"/>
          <w:color w:val="000000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 w:val="0"/>
          <w:bCs w:val="0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Кроме того, уточнен порядок заполнения </w:t>
      </w:r>
      <w:r>
        <w:rPr>
          <w:b w:val="0"/>
          <w:bCs w:val="0"/>
          <w:color w:val="000000"/>
          <w:lang w:eastAsia="ru-RU"/>
        </w:rPr>
        <w:t xml:space="preserve">формы</w:t>
      </w:r>
      <w:r>
        <w:rPr>
          <w:b w:val="0"/>
          <w:bCs w:val="0"/>
          <w:color w:val="000000"/>
          <w:lang w:eastAsia="ru-RU"/>
        </w:rPr>
        <w:t xml:space="preserve"> выписки из ЕГРН об объекте недвижимости в части указываемых сведений о кадастровом инженере и сведений о результатах проведения федерального государственного земельного контроля (надзора).</w:t>
      </w:r>
      <w:r>
        <w:rPr>
          <w:b w:val="0"/>
          <w:bCs w:val="0"/>
          <w:color w:val="000000"/>
          <w14:ligatures w14:val="none"/>
        </w:rPr>
      </w:r>
      <w:r>
        <w:rPr>
          <w:b w:val="0"/>
          <w:bCs w:val="0"/>
          <w:color w:val="000000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 w:val="0"/>
          <w:bCs w:val="0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Установлено, что при оформлении выписки из ЕГРН об объекте недвижимости в отношении образованного земельного участка при наличии в ЕГРН записи о том, что лицо, использовавшее исходный земельный участок на основании договоров аренды или безвозмездного польз</w:t>
      </w:r>
      <w:r>
        <w:rPr>
          <w:b w:val="0"/>
          <w:bCs w:val="0"/>
          <w:color w:val="000000"/>
          <w:lang w:eastAsia="ru-RU"/>
        </w:rPr>
        <w:t xml:space="preserve">ования, сохраняет право аренды или безвозмездного пользования в отношении образованных и измененных земельных участков, </w:t>
      </w:r>
      <w:r>
        <w:rPr>
          <w:b w:val="0"/>
          <w:bCs w:val="0"/>
          <w:color w:val="000000"/>
          <w:lang w:eastAsia="ru-RU"/>
        </w:rPr>
        <w:t xml:space="preserve">указывается</w:t>
      </w:r>
      <w:r>
        <w:rPr>
          <w:b w:val="0"/>
          <w:bCs w:val="0"/>
          <w:color w:val="000000"/>
          <w:lang w:eastAsia="ru-RU"/>
        </w:rPr>
        <w:t xml:space="preserve"> внесенная в ЕГРН информация, включая сведения о сохраняющем право аренды или безвозмездного пользования в отношении образованного земельного участка лице.</w:t>
      </w:r>
      <w:r>
        <w:rPr>
          <w:b w:val="0"/>
          <w:bCs w:val="0"/>
          <w:color w:val="000000"/>
          <w14:ligatures w14:val="none"/>
        </w:rPr>
      </w:r>
      <w:r>
        <w:rPr>
          <w:b w:val="0"/>
          <w:bCs w:val="0"/>
          <w:color w:val="000000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/>
          <w:bCs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 w:val="0"/>
          <w:bCs w:val="0"/>
          <w:color w:val="000000"/>
          <w:lang w:eastAsia="ru-RU"/>
        </w:rPr>
        <w:t xml:space="preserve">При предоставлении сведений из ЕГРН одновременно с предоставлением XML-документа, содержащего сведения ЕГРН, за исключением предоставления копий документов, помещенных в реестровые дела, </w:t>
      </w:r>
      <w:r>
        <w:rPr>
          <w:b w:val="0"/>
          <w:bCs w:val="0"/>
          <w:color w:val="000000"/>
          <w:lang w:eastAsia="ru-RU"/>
        </w:rPr>
        <w:t xml:space="preserve">направляется</w:t>
      </w:r>
      <w:r>
        <w:rPr>
          <w:b w:val="0"/>
          <w:bCs w:val="0"/>
          <w:color w:val="000000"/>
          <w:lang w:eastAsia="ru-RU"/>
        </w:rPr>
        <w:t xml:space="preserve"> электронный документ в формате PDF, полученный в результате преобразования указанного XML-документа, который должен содержать визуализацию усиленной квалифицированной электронной подписи Роскадастра, которой подписан электронный документ в машиночитаемом </w:t>
      </w:r>
      <w:r>
        <w:rPr>
          <w:b w:val="0"/>
          <w:bCs w:val="0"/>
          <w:color w:val="000000"/>
          <w:lang w:eastAsia="ru-RU"/>
        </w:rPr>
        <w:t xml:space="preserve">формате.</w:t>
      </w:r>
      <w:r>
        <w:rPr>
          <w:b/>
          <w:bCs/>
          <w:color w:val="000000"/>
          <w:lang w:eastAsia="ru-RU"/>
          <w14:ligatures w14:val="none"/>
        </w:rPr>
      </w:r>
      <w:r>
        <w:rPr>
          <w:b/>
          <w:bCs/>
          <w:color w:val="000000"/>
          <w:lang w:eastAsia="ru-RU"/>
          <w14:ligatures w14:val="none"/>
        </w:rPr>
      </w:r>
    </w:p>
    <w:p>
      <w:pPr>
        <w:contextualSpacing/>
        <w:ind w:left="0" w:right="0" w:firstLine="708"/>
        <w:jc w:val="both"/>
        <w:spacing w:before="210" w:after="0" w:line="240" w:lineRule="auto"/>
        <w:rPr>
          <w:b/>
          <w:bCs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:lang w:eastAsia="ru-RU"/>
          <w14:ligatures w14:val="none"/>
        </w:rPr>
      </w:r>
      <w:r>
        <w:rPr>
          <w:b/>
          <w:bCs/>
          <w:color w:val="000000"/>
          <w:lang w:eastAsia="ru-RU"/>
          <w14:ligatures w14:val="none"/>
        </w:rPr>
      </w:r>
    </w:p>
    <w:p>
      <w:pPr>
        <w:pStyle w:val="968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b/>
          <w:bCs/>
          <w:highlight w:val="none"/>
          <w14:ligatures w14:val="none"/>
        </w:rPr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нформационные письма и разъяснения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сфере государственного кадастрового учета и (или) государственной регистрации пр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ав, материалы судебной практики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68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line="230" w:lineRule="auto"/>
        <w:rPr>
          <w:b/>
          <w:bCs/>
          <w:color w:val="000000"/>
          <w:highlight w:val="none"/>
          <w:lang w:eastAsia="ru-RU"/>
          <w14:ligatures w14:val="none"/>
        </w:rPr>
      </w:pPr>
      <w:r>
        <w:rPr>
          <w:b/>
          <w:bCs/>
          <w:color w:val="000000"/>
          <w:lang w:eastAsia="ru-RU"/>
          <w14:ligatures w14:val="none"/>
        </w:rPr>
      </w:r>
      <w:r>
        <w:rPr>
          <w:b/>
          <w:bCs/>
          <w:color w:val="000000"/>
          <w:lang w:eastAsia="ru-RU"/>
        </w:rPr>
        <w:t xml:space="preserve">1. Письмо</w:t>
      </w:r>
      <w:r>
        <w:rPr>
          <w:b/>
          <w:bCs/>
          <w:color w:val="000000"/>
          <w:lang w:eastAsia="ru-RU"/>
        </w:rPr>
        <w:t xml:space="preserve"> Р</w:t>
      </w:r>
      <w:r>
        <w:rPr>
          <w:b/>
          <w:bCs/>
          <w:color w:val="000000"/>
          <w:lang w:eastAsia="ru-RU"/>
        </w:rPr>
        <w:t xml:space="preserve">о</w:t>
      </w:r>
      <w:r>
        <w:rPr>
          <w:b/>
          <w:bCs/>
          <w:color w:val="000000"/>
          <w:lang w:eastAsia="ru-RU"/>
        </w:rPr>
        <w:t xml:space="preserve">срее</w:t>
      </w:r>
      <w:r>
        <w:rPr>
          <w:b/>
          <w:bCs/>
          <w:color w:val="000000"/>
          <w:lang w:eastAsia="ru-RU"/>
        </w:rPr>
        <w:t xml:space="preserve">стра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от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12.11.2025 №</w:t>
      </w:r>
      <w:r>
        <w:rPr>
          <w:b/>
          <w:bCs/>
          <w:color w:val="000000"/>
          <w:lang w:eastAsia="ru-RU"/>
          <w14:ligatures w14:val="none"/>
        </w:rPr>
        <w:t xml:space="preserve"> </w:t>
      </w:r>
      <w:r>
        <w:rPr>
          <w:b/>
          <w:bCs/>
          <w:color w:val="000000"/>
          <w:lang w:eastAsia="ru-RU"/>
          <w14:ligatures w14:val="none"/>
        </w:rPr>
        <w:t xml:space="preserve">13-11741-АБ/25</w:t>
      </w:r>
      <w:r>
        <w:rPr>
          <w:b/>
          <w:bCs/>
          <w:color w:val="000000"/>
          <w:lang w:eastAsia="ru-RU"/>
          <w14:ligatures w14:val="none"/>
        </w:rPr>
        <w:t xml:space="preserve"> </w:t>
      </w:r>
      <w:r>
        <w:rPr>
          <w:b/>
          <w:bCs/>
          <w:color w:val="000000"/>
          <w:lang w:eastAsia="ru-RU"/>
          <w14:ligatures w14:val="none"/>
        </w:rPr>
        <w:t xml:space="preserve">о возврате половины уплаченной государственной пошлины</w:t>
      </w:r>
      <w:r>
        <w:rPr>
          <w:b/>
          <w:bCs/>
          <w:color w:val="000000"/>
          <w:lang w:eastAsia="ru-RU"/>
          <w14:ligatures w14:val="none"/>
        </w:rPr>
        <w:t xml:space="preserve">.</w:t>
      </w:r>
      <w:r>
        <w:rPr>
          <w:b/>
          <w:bCs/>
          <w:color w:val="000000"/>
          <w:highlight w:val="none"/>
          <w:lang w:eastAsia="ru-RU"/>
          <w14:ligatures w14:val="none"/>
        </w:rPr>
      </w:r>
      <w:r>
        <w:rPr>
          <w:b/>
          <w:bCs/>
          <w:color w:val="000000"/>
          <w:highlight w:val="none"/>
          <w:lang w:eastAsia="ru-RU"/>
          <w14:ligatures w14:val="none"/>
        </w:rPr>
      </w:r>
    </w:p>
    <w:p>
      <w:pPr>
        <w:ind w:left="0" w:right="0" w:firstLine="709"/>
        <w:jc w:val="both"/>
        <w:spacing w:after="0" w:line="230" w:lineRule="auto"/>
        <w:rPr>
          <w:b/>
          <w:bCs/>
          <w:color w:val="000000"/>
          <w:lang w:eastAsia="ru-RU"/>
          <w14:ligatures w14:val="none"/>
        </w:rPr>
      </w:pPr>
      <w:r>
        <w:rPr>
          <w:b/>
          <w:bCs/>
          <w:color w:val="000000"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8725" cy="763658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256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398724" cy="76365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5.10pt;height:601.3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/>
          <w:bCs/>
          <w:color w:val="000000"/>
          <w:lang w:eastAsia="ru-RU"/>
          <w14:ligatures w14:val="none"/>
        </w:rPr>
      </w:r>
      <w:r>
        <w:rPr>
          <w:b/>
          <w:bCs/>
          <w:color w:val="000000"/>
          <w:lang w:eastAsia="ru-RU"/>
          <w14:ligatures w14:val="none"/>
        </w:rPr>
      </w:r>
    </w:p>
    <w:p>
      <w:pPr>
        <w:ind w:left="0" w:right="0" w:firstLine="709"/>
        <w:jc w:val="both"/>
        <w:spacing w:after="0" w:line="230" w:lineRule="auto"/>
        <w:rPr>
          <w:b/>
          <w:bCs/>
          <w:color w:val="000000"/>
          <w:highlight w:val="none"/>
          <w:lang w:eastAsia="ru-RU"/>
          <w14:ligatures w14:val="none"/>
        </w:rPr>
      </w:pPr>
      <w:r>
        <w:rPr>
          <w:b/>
          <w:bCs/>
          <w:color w:val="000000"/>
          <w:lang w:eastAsia="ru-RU"/>
        </w:rPr>
        <w:t xml:space="preserve">2. Письмо</w:t>
      </w:r>
      <w:r>
        <w:rPr>
          <w:b/>
          <w:bCs/>
          <w:color w:val="000000"/>
          <w:lang w:eastAsia="ru-RU"/>
        </w:rPr>
        <w:t xml:space="preserve"> Р</w:t>
      </w:r>
      <w:r>
        <w:rPr>
          <w:b/>
          <w:bCs/>
          <w:color w:val="000000"/>
          <w:lang w:eastAsia="ru-RU"/>
        </w:rPr>
        <w:t xml:space="preserve">о</w:t>
      </w:r>
      <w:r>
        <w:rPr>
          <w:b/>
          <w:bCs/>
          <w:color w:val="000000"/>
          <w:lang w:eastAsia="ru-RU"/>
        </w:rPr>
        <w:t xml:space="preserve">срее</w:t>
      </w:r>
      <w:r>
        <w:rPr>
          <w:b/>
          <w:bCs/>
          <w:color w:val="000000"/>
          <w:lang w:eastAsia="ru-RU"/>
        </w:rPr>
        <w:t xml:space="preserve">стра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от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13.11.2025 № </w:t>
      </w:r>
      <w:r>
        <w:rPr>
          <w:b/>
          <w:bCs/>
          <w:color w:val="000000"/>
          <w:lang w:eastAsia="ru-RU"/>
        </w:rPr>
        <w:t xml:space="preserve">18-04119/25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о направлении  разъяснений по обращению Ассоциации «Гильдия кадастровых инженеров» по комплексным кадастровым работам</w:t>
      </w:r>
      <w:r>
        <w:rPr>
          <w:b/>
          <w:bCs/>
          <w:color w:val="000000"/>
          <w:lang w:eastAsia="ru-RU"/>
        </w:rPr>
        <w:t xml:space="preserve">.</w:t>
      </w:r>
      <w:r>
        <w:rPr>
          <w:b/>
          <w:bCs/>
          <w:color w:val="000000"/>
          <w:highlight w:val="none"/>
          <w:lang w:eastAsia="ru-RU"/>
          <w14:ligatures w14:val="none"/>
        </w:rPr>
      </w:r>
      <w:r>
        <w:rPr>
          <w:b/>
          <w:bCs/>
          <w:color w:val="000000"/>
          <w:highlight w:val="none"/>
          <w:lang w:eastAsia="ru-RU"/>
          <w14:ligatures w14:val="none"/>
        </w:rPr>
      </w:r>
    </w:p>
    <w:p>
      <w:pPr>
        <w:ind w:left="0" w:right="0" w:firstLine="0"/>
        <w:spacing w:line="240" w:lineRule="auto"/>
        <w:rPr>
          <w:b/>
          <w:bCs/>
          <w:color w:val="000000"/>
          <w:highlight w:val="none"/>
          <w:lang w:eastAsia="ru-RU"/>
          <w14:ligatures w14:val="none"/>
        </w:rPr>
      </w:pPr>
      <w:r>
        <w:rPr>
          <w:b/>
          <w:bCs/>
          <w:color w:val="000000"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8982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3" cy="840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bCs/>
          <w:color w:val="000000"/>
          <w:highlight w:val="none"/>
          <w:lang w:eastAsia="ru-RU"/>
          <w14:ligatures w14:val="none"/>
        </w:rPr>
      </w:r>
      <w:r>
        <w:rPr>
          <w:b/>
          <w:bCs/>
          <w:color w:val="000000"/>
          <w:highlight w:val="none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highlight w:val="none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19362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3" cy="840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584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8120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45322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4" cy="8402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39267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6520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4" cy="8392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660.8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color w:val="ee0000"/>
          <w:sz w:val="24"/>
          <w:szCs w:val="24"/>
        </w:rPr>
        <w:t xml:space="preserve">Разбор спорной ситуации на примере земельного участка с кадастровым номером 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83:00:070008:16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ee0000"/>
          <w:sz w:val="24"/>
          <w:szCs w:val="24"/>
        </w:rPr>
      </w:r>
      <w:r>
        <w:rPr>
          <w:rFonts w:ascii="Times New Roman" w:hAnsi="Times New Roman" w:cs="Times New Roman"/>
          <w:color w:val="ee0000"/>
          <w:sz w:val="24"/>
          <w:szCs w:val="24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color w:val="ee0000"/>
          <w:sz w:val="24"/>
          <w:szCs w:val="24"/>
        </w:rPr>
      </w:r>
      <w:r>
        <w:rPr>
          <w:rFonts w:ascii="Times New Roman" w:hAnsi="Times New Roman" w:cs="Times New Roman"/>
          <w:color w:val="ee0000"/>
          <w:sz w:val="24"/>
          <w:szCs w:val="24"/>
        </w:rPr>
      </w:r>
      <w:r>
        <w:rPr>
          <w:rFonts w:ascii="Times New Roman" w:hAnsi="Times New Roman" w:cs="Times New Roman"/>
          <w:color w:val="ee0000"/>
          <w:sz w:val="24"/>
          <w:szCs w:val="24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color w:val="ee0000"/>
          <w:sz w:val="24"/>
          <w:szCs w:val="24"/>
        </w:rPr>
      </w:pPr>
      <w:r>
        <w:rPr>
          <w:rFonts w:ascii="Times New Roman" w:hAnsi="Times New Roman" w:cs="Times New Roman"/>
          <w:color w:val="ee0000"/>
          <w:sz w:val="24"/>
          <w:szCs w:val="24"/>
        </w:rPr>
      </w:r>
      <w:r>
        <w:rPr>
          <w:rFonts w:ascii="Times New Roman" w:hAnsi="Times New Roman" w:cs="Times New Roman"/>
          <w:color w:val="ee0000"/>
          <w:sz w:val="24"/>
          <w:szCs w:val="24"/>
        </w:rPr>
      </w:r>
      <w:r>
        <w:rPr>
          <w:rFonts w:ascii="Times New Roman" w:hAnsi="Times New Roman" w:cs="Times New Roman"/>
          <w:color w:val="ee0000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ЕГРН: декларативная площадь 300 кв.м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ВРИ: </w:t>
      </w:r>
      <w:r>
        <w:rPr>
          <w:rFonts w:ascii="Times New Roman" w:hAnsi="Times New Roman" w:cs="Times New Roman"/>
          <w:sz w:val="24"/>
          <w:szCs w:val="24"/>
        </w:rPr>
        <w:t xml:space="preserve">для индивидуального строительства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земельного участка, определенные в ходе ККР: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5674" cy="3503981"/>
                <wp:effectExtent l="0" t="0" r="0" b="127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36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977595" cy="3505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1.79pt;height:275.9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земельного участка, определенная в результате ККР – 654 кв.м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pPr>
      <w:r>
        <w:rPr>
          <w:rStyle w:val="973"/>
          <w:rFonts w:ascii="Times New Roman" w:hAnsi="Times New Roman" w:cs="Times New Roman"/>
          <w:b/>
          <w:i/>
          <w:sz w:val="28"/>
          <w:szCs w:val="28"/>
        </w:rPr>
        <w:t xml:space="preserve">Новости информационных сайтов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Минэкономразвития России</w:t>
      </w:r>
      <w:r>
        <w:rPr>
          <w:rStyle w:val="973"/>
          <w:rFonts w:ascii="Times New Roman" w:hAnsi="Times New Roman" w:cs="Times New Roman"/>
          <w:b/>
          <w:i/>
          <w:sz w:val="28"/>
          <w:szCs w:val="28"/>
        </w:rPr>
        <w:t xml:space="preserve">, Росреестра и Управления Росреестра по Новосибирской области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</w:p>
    <w:p>
      <w:pPr>
        <w:ind w:firstLine="708"/>
        <w:rPr>
          <w:b/>
          <w:bCs/>
          <w:color w:val="292c2f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</w:r>
      <w:r>
        <w:rPr>
          <w:b/>
          <w:bCs/>
          <w:color w:val="292c2f"/>
          <w:highlight w:val="none"/>
          <w14:ligatures w14:val="none"/>
        </w:rPr>
      </w:r>
      <w:r>
        <w:rPr>
          <w:b/>
          <w:bCs/>
          <w:color w:val="292c2f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  <w:t xml:space="preserve">1.</w:t>
      </w:r>
      <w:r>
        <w:rPr>
          <w:b/>
          <w:bCs/>
          <w:color w:val="292c2f"/>
          <w:highlight w:val="none"/>
          <w14:ligatures w14:val="none"/>
        </w:rPr>
        <w:t xml:space="preserve"> </w:t>
      </w:r>
      <w:r>
        <w:rPr>
          <w:b/>
          <w:bCs/>
          <w:color w:val="000000"/>
          <w:lang w:eastAsia="ru-RU"/>
        </w:rPr>
        <w:t xml:space="preserve">Более 602 тыс. обращений граждан обработал Росреестр по итогам трёх кварталов 2025 года.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За период с января по сентябрь 2025 года команда Большого Росреестра обработала более 602 тыс. обращений граждан, что составляет более 3,2 тыс. обращений в день.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Почти 270 тыс. обращений поступило в Росреестр и ППК «Роскадастр» посредством основных канало</w:t>
      </w:r>
      <w:r>
        <w:rPr>
          <w:b w:val="0"/>
          <w:bCs w:val="0"/>
          <w:color w:val="000000"/>
          <w:lang w:eastAsia="ru-RU"/>
        </w:rPr>
        <w:t xml:space="preserve">в (электронная форма направления обращений на официальном сайте Росреестра, почтовая связь, приемные Росреестра). Это на 3,3% больше по сравнению с аналогичным периодом в 2024 году.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Более 96% всех обращений граждан рассмотрены положительно: вопросы заявит</w:t>
      </w:r>
      <w:r>
        <w:rPr>
          <w:b w:val="0"/>
          <w:bCs w:val="0"/>
          <w:color w:val="000000"/>
          <w:lang w:eastAsia="ru-RU"/>
        </w:rPr>
        <w:t xml:space="preserve">елей решены или по ним даны детальные разъяснения. Всего 2,6% обращений признаны необоснованными, на 0,8% ответы не направлялись в связи с отсутствием сути обращения. По 0,2% обращений предоставлена информация ответственному органу.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Результаты рассмотрения обращений граждан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Чаще всего заявители обращались по вопросам государственной регистрации прав на недвижимое имущество и сделок с ним, государственного кадастрового учета и предоставления сведений из Единого государственного реестра недвижимости (53% обращений).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Значительн</w:t>
      </w:r>
      <w:r>
        <w:rPr>
          <w:b w:val="0"/>
          <w:bCs w:val="0"/>
          <w:color w:val="000000"/>
          <w:lang w:eastAsia="ru-RU"/>
        </w:rPr>
        <w:t xml:space="preserve">о реже – по вопросам земельного контроля (надзора) (9%), контроля за деятельностью СРО арбитражных управляющих (6%), разъяснения законодательства по вопросам, относящимся к установленной сфере деятельности (4%), вопросам землеустройства, землеустроительног</w:t>
      </w:r>
      <w:r>
        <w:rPr>
          <w:b w:val="0"/>
          <w:bCs w:val="0"/>
          <w:color w:val="000000"/>
          <w:lang w:eastAsia="ru-RU"/>
        </w:rPr>
        <w:t xml:space="preserve">о процесса, установления границ, мониторинга земель, кадастровой деятельности, деятельности кадастровых инженеров (3,5%), государственной кадастровой оценки объектов недвижимости (2,1%).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Тематика обращений граждан в Росреестр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Более 333,3 тыс. обращений поступило в Росреестр и ППК «Роскадастр» посредством платформы обратной связи (ПОС), электронная форма которой размещена на </w:t>
      </w:r>
      <w:hyperlink r:id="rId22" w:tooltip="https://pos.gosuslugi.ru/landing/" w:history="1">
        <w:r>
          <w:rPr>
            <w:b w:val="0"/>
            <w:bCs w:val="0"/>
            <w:color w:val="000000"/>
            <w:lang w:eastAsia="ru-RU"/>
          </w:rPr>
          <w:t xml:space="preserve">Портале госуслуг</w:t>
        </w:r>
      </w:hyperlink>
      <w:r>
        <w:rPr>
          <w:b w:val="0"/>
          <w:bCs w:val="0"/>
          <w:color w:val="000000"/>
          <w:lang w:eastAsia="ru-RU"/>
        </w:rPr>
        <w:t xml:space="preserve"> и на </w:t>
      </w:r>
      <w:hyperlink r:id="rId23" w:tooltip="https://rosreestr.gov.ru/feedback/poryadok-rassmotreniya/" w:history="1">
        <w:r>
          <w:rPr>
            <w:b w:val="0"/>
            <w:bCs w:val="0"/>
            <w:color w:val="000000"/>
            <w:lang w:eastAsia="ru-RU"/>
          </w:rPr>
          <w:t xml:space="preserve">официальном сайте Росреестра</w:t>
        </w:r>
      </w:hyperlink>
      <w:r>
        <w:rPr>
          <w:b w:val="0"/>
          <w:bCs w:val="0"/>
          <w:color w:val="000000"/>
          <w:lang w:eastAsia="ru-RU"/>
        </w:rPr>
        <w:t xml:space="preserve">. Это на 8% больше по сравнению с аналогичным периодом 2024 года.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98,5% вопросов заявителей, поступивших посредством сервиса ПОС, решены, 1,5% признаны необоснованными. Почти 95% обращений рассмотрены в ускоренные сроки – до 10 дней. В среднем рассмотрение сообщений посредством сервиса платформы занимает пять дней.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Результаты рассмотрения сообщений и обращений граждан в ПОС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Преимущественное большинство сообщений и обращений, поступивших посредством платформы обратной связи, содержали вопросы о предоставлении сведений из Единого государственного реестра недвижимости (90,6%). Реже поступали вопросы о государственной регистрации</w:t>
      </w:r>
      <w:r>
        <w:rPr>
          <w:b w:val="0"/>
          <w:bCs w:val="0"/>
          <w:color w:val="000000"/>
          <w:lang w:eastAsia="ru-RU"/>
        </w:rPr>
        <w:t xml:space="preserve"> прав, государственном кадастровом учете, государственных услугах ведомства (4,7%) и иной деятельности Росреестра (4,7%). 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Тематика сообщений и обращений граждан в ПОС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Для повышения качества предоставления государственных услуг и оценки качества удовлетворенности граждан работой Росреестра проводятся опросы. Они размещаются в разделе «Общественное голосование» на Портале госуслуг «Мой выбор, мое будущее».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течение трёх</w:t>
      </w:r>
      <w:r>
        <w:rPr>
          <w:b w:val="0"/>
          <w:bCs w:val="0"/>
          <w:color w:val="000000"/>
          <w:lang w:eastAsia="ru-RU"/>
        </w:rPr>
        <w:t xml:space="preserve"> кварталов 2025 года размещено два тематических опроса по оценке качества рассмотрения обращений и организации личного приема граждан, к которым привлечено почти 52 442 тыс. респондентов: </w:t>
      </w:r>
      <w:r>
        <w:rPr>
          <w:b w:val="0"/>
          <w:bCs w:val="0"/>
          <w:color w:val="000000"/>
          <w:lang w:eastAsia="ru-RU"/>
        </w:rPr>
        <w:t xml:space="preserve">97,6%</w:t>
      </w:r>
      <w:r>
        <w:rPr>
          <w:b w:val="0"/>
          <w:bCs w:val="0"/>
          <w:color w:val="000000"/>
          <w:lang w:eastAsia="ru-RU"/>
        </w:rPr>
        <w:t xml:space="preserve"> из них отметили, что </w:t>
      </w:r>
      <w:r>
        <w:rPr>
          <w:b w:val="0"/>
          <w:bCs w:val="0"/>
          <w:color w:val="000000"/>
          <w:lang w:eastAsia="ru-RU"/>
        </w:rPr>
        <w:t xml:space="preserve">удовлетворены</w:t>
      </w:r>
      <w:r>
        <w:rPr>
          <w:b w:val="0"/>
          <w:bCs w:val="0"/>
          <w:color w:val="000000"/>
          <w:lang w:eastAsia="ru-RU"/>
        </w:rPr>
        <w:t xml:space="preserve"> качеством ответов, </w:t>
      </w:r>
      <w:r>
        <w:rPr>
          <w:b w:val="0"/>
          <w:bCs w:val="0"/>
          <w:color w:val="000000"/>
          <w:lang w:eastAsia="ru-RU"/>
        </w:rPr>
        <w:t xml:space="preserve">97,8%</w:t>
      </w:r>
      <w:r>
        <w:rPr>
          <w:b w:val="0"/>
          <w:bCs w:val="0"/>
          <w:color w:val="000000"/>
          <w:lang w:eastAsia="ru-RU"/>
        </w:rPr>
        <w:t xml:space="preserve"> респондентов получили реальную помощь в ходе личного приема.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Для участия в опросе по оценке качества работы с обращениями граждан в Росреестре Вы можете перейти по ссылке: </w:t>
      </w:r>
      <w:hyperlink r:id="rId24" w:tooltip="https://pos.gosuslugi.ru/lkp/polls/550862/" w:history="1">
        <w:r>
          <w:rPr>
            <w:b w:val="0"/>
            <w:bCs w:val="0"/>
            <w:color w:val="000000"/>
            <w:lang w:eastAsia="ru-RU"/>
          </w:rPr>
          <w:t xml:space="preserve">https://pos.gosuslugi.ru/lkp/polls/550862/</w:t>
        </w:r>
      </w:hyperlink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Для участия в опросе по оценке качества личного приема в Росреестре Вы можете перейти по ссылке: </w:t>
      </w:r>
      <w:hyperlink r:id="rId25" w:tooltip="https://pos.gosuslugi.ru/lkp/polls/550870/" w:history="1">
        <w:r>
          <w:rPr>
            <w:b w:val="0"/>
            <w:bCs w:val="0"/>
            <w:color w:val="000000"/>
            <w:lang w:eastAsia="ru-RU"/>
          </w:rPr>
          <w:t xml:space="preserve">https://pos.gosuslugi.ru/lkp/polls/550870/</w:t>
        </w:r>
      </w:hyperlink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QR-код для перехода на электронную форму платформы обратной связи на официальном сайте Росреестра: </w:t>
      </w:r>
      <w:hyperlink r:id="rId26" w:tooltip="https://rosreestr.gov.ru/open-service/poleznye-ssylki/gosuslugi-reshaem-vmeste/" w:history="1">
        <w:r>
          <w:rPr>
            <w:b w:val="0"/>
            <w:bCs w:val="0"/>
            <w:color w:val="000000"/>
            <w:lang w:eastAsia="ru-RU"/>
          </w:rPr>
          <w:t xml:space="preserve">https://rosreestr.gov.ru/open-service/poleznye-ssylki/gosuslugi-reshaem-vmeste/</w:t>
        </w:r>
      </w:hyperlink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2. </w:t>
      </w:r>
      <w:r>
        <w:rPr>
          <w:b/>
          <w:bCs/>
          <w:color w:val="000000"/>
          <w:lang w:eastAsia="ru-RU"/>
        </w:rPr>
        <w:t xml:space="preserve">Росреестр разработал законопроект по вовлечению в оборот федеральных земель.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Комиссия Правительства РФ по законопроектной деятельности одобрила законопроект Росреестра, направленный на вовлечение федеральных земель в оборот и создание условий для использования таких земель. Проект закона представил статс-секретарь – заместитель рук</w:t>
      </w:r>
      <w:r>
        <w:rPr>
          <w:b w:val="0"/>
          <w:bCs w:val="0"/>
          <w:color w:val="000000"/>
          <w:lang w:eastAsia="ru-RU"/>
        </w:rPr>
        <w:t xml:space="preserve">оводителя Росреестра </w:t>
      </w:r>
      <w:r>
        <w:rPr>
          <w:b w:val="0"/>
          <w:bCs w:val="0"/>
          <w:color w:val="000000"/>
          <w:lang w:eastAsia="ru-RU"/>
        </w:rPr>
        <w:t xml:space="preserve">Алексей Бутовецкий</w:t>
      </w:r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По его словам, изменения направлены на совершенствование порядка передачи земельных участков из федеральной собственности в собственность субъекта РФ или муниципалитета для их дальнейшего вовлечения в гражданский оборот. Основанием для предлагаемых изме</w:t>
      </w:r>
      <w:r>
        <w:rPr>
          <w:b w:val="0"/>
          <w:bCs w:val="0"/>
          <w:color w:val="000000"/>
          <w:lang w:eastAsia="ru-RU"/>
        </w:rPr>
        <w:t xml:space="preserve">нений является сложившаяся практика, указывающая на то, что во многих случаях земельные участки запрашиваются для передачи со стороны муниципалитета только для целей их продажи, а не для реализации каких-либо реально значимых проектов. Однако при этом Росс</w:t>
      </w:r>
      <w:r>
        <w:rPr>
          <w:b w:val="0"/>
          <w:bCs w:val="0"/>
          <w:color w:val="000000"/>
          <w:lang w:eastAsia="ru-RU"/>
        </w:rPr>
        <w:t xml:space="preserve">ийская Федерация как собственник земельного участка могла бы распорядиться им более эффективно.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«Предполагается, что Правительством РФ будут установлены случаи, при которых решения о передаче таких участков на иной уровень публичной власти будет принимать Правительственная комиссия по развитию жилищного строительства. Комиссия будет оценивать текущую</w:t>
      </w:r>
      <w:r>
        <w:rPr>
          <w:b w:val="0"/>
          <w:bCs w:val="0"/>
          <w:color w:val="000000"/>
          <w:lang w:eastAsia="ru-RU"/>
        </w:rPr>
        <w:t xml:space="preserve"> эффективность использования федеральных участков и возможные варианты их вовлечения в оборот, в том числе для жилищного строительства»,</w:t>
      </w:r>
      <w:r>
        <w:rPr>
          <w:b w:val="0"/>
          <w:bCs w:val="0"/>
          <w:color w:val="000000"/>
          <w:lang w:eastAsia="ru-RU"/>
        </w:rPr>
        <w:t xml:space="preserve"> - сказал </w:t>
      </w:r>
      <w:r>
        <w:rPr>
          <w:b w:val="0"/>
          <w:bCs w:val="0"/>
          <w:color w:val="000000"/>
          <w:lang w:eastAsia="ru-RU"/>
        </w:rPr>
        <w:t xml:space="preserve">Алексей Бутовецкий</w:t>
      </w:r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Также законопроектом предлагается запретить безвозмездную передачу в собственность субъекта или муниципалитета федеральных участков, которые ранее были предоставлены в пользование третьим лицам. В настоящее время данная норма законодательно не ограничен</w:t>
      </w:r>
      <w:r>
        <w:rPr>
          <w:b w:val="0"/>
          <w:bCs w:val="0"/>
          <w:color w:val="000000"/>
          <w:lang w:eastAsia="ru-RU"/>
        </w:rPr>
        <w:t xml:space="preserve">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Кроме того, в рамках изменений предусмотрено совершенствование норм о порядке вовлечения в оборот публичных земельных участков, которые расположены на землях общего пользования.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:lang w:eastAsia="ru-RU"/>
        </w:rPr>
        <w:t xml:space="preserve">3.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Росреестр совместно с ФОИВ обсудил статус внедрения НСПД в процесс оказания госуслуг.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Росреестре под председательством руководителя ведомства</w:t>
      </w:r>
      <w:r>
        <w:rPr>
          <w:b w:val="0"/>
          <w:bCs w:val="0"/>
          <w:color w:val="000000"/>
          <w:lang w:eastAsia="ru-RU"/>
        </w:rPr>
        <w:t xml:space="preserve"> Олега Скуфинского </w:t>
      </w:r>
      <w:r>
        <w:rPr>
          <w:b w:val="0"/>
          <w:bCs w:val="0"/>
          <w:color w:val="000000"/>
          <w:lang w:eastAsia="ru-RU"/>
        </w:rPr>
        <w:t xml:space="preserve">состоялось очередное заседание межведомственной рабочей группы по развитию ФГИС «Единая цифровая платформа «Национальная система пространственных данных» (НСПД). Участники обсудили, как идут работы по организации предоставления государственных услуг с помо</w:t>
      </w:r>
      <w:r>
        <w:rPr>
          <w:b w:val="0"/>
          <w:bCs w:val="0"/>
          <w:color w:val="000000"/>
          <w:lang w:eastAsia="ru-RU"/>
        </w:rPr>
        <w:t xml:space="preserve">щью платформы, планы по присоединению к НСПД пяти новых участников, а также результаты реализации проекта по созданию на Сахалине первой школы НСПД.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Участие в заседании в режиме ВКС приняли представители федеральных и региональных органов власти и муницип</w:t>
      </w:r>
      <w:r>
        <w:rPr>
          <w:b w:val="0"/>
          <w:bCs w:val="0"/>
          <w:color w:val="000000"/>
          <w:lang w:eastAsia="ru-RU"/>
        </w:rPr>
        <w:t xml:space="preserve">алитетов.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«Первая региональная школа НСПД на Сахалине - это совместный проект Росреестра, МИИГАиК, СахГУ и корпоративного университета ППК «Роскадастр». Он реализуется при поддержке правительства Сахалинской области и лично губернатора Валерия Лимаренко. В рамках пе</w:t>
      </w:r>
      <w:r>
        <w:rPr>
          <w:b w:val="0"/>
          <w:bCs w:val="0"/>
          <w:color w:val="000000"/>
          <w:lang w:eastAsia="ru-RU"/>
        </w:rPr>
        <w:t xml:space="preserve">рвого потока обучение завершили 36 специалистов – представители региональных органов власти и муниципалитетов, проектных организаций, архитекторы и градостроители. В перспективе планируем выстраивать такую же работу с другими федеральными округами, открыва</w:t>
      </w:r>
      <w:r>
        <w:rPr>
          <w:b w:val="0"/>
          <w:bCs w:val="0"/>
          <w:color w:val="000000"/>
          <w:lang w:eastAsia="ru-RU"/>
        </w:rPr>
        <w:t xml:space="preserve">ть аналогичные школы для подготовки специалистов по работе с НСПД», </w:t>
      </w:r>
      <w:r>
        <w:rPr>
          <w:b w:val="0"/>
          <w:bCs w:val="0"/>
          <w:color w:val="000000"/>
          <w:lang w:eastAsia="ru-RU"/>
        </w:rPr>
        <w:t xml:space="preserve">- сказал руководитель Росреестра </w:t>
      </w:r>
      <w:r>
        <w:rPr>
          <w:b w:val="0"/>
          <w:bCs w:val="0"/>
          <w:color w:val="000000"/>
          <w:lang w:eastAsia="ru-RU"/>
        </w:rPr>
        <w:t xml:space="preserve">Олег Скуфинский</w:t>
      </w:r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ходе недавней поездки в Ставропольский край достигнута договоренность об открытии школы НСПД на базе Северо-Кавказского государственного университета.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Руководитель Росреестра </w:t>
      </w:r>
      <w:r>
        <w:rPr>
          <w:b w:val="0"/>
          <w:bCs w:val="0"/>
          <w:color w:val="000000"/>
          <w:lang w:eastAsia="ru-RU"/>
        </w:rPr>
        <w:t xml:space="preserve">поблагодарил коллег из федеральных органов власти за конструктивную работу по созданию платформы, интеграцию и верификацию данных, подчеркнул технологическую и организационную сложность этих процессов.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Как отметил заместитель руководителя Росреестра </w:t>
      </w:r>
      <w:r>
        <w:rPr>
          <w:b w:val="0"/>
          <w:bCs w:val="0"/>
          <w:color w:val="000000"/>
          <w:lang w:eastAsia="ru-RU"/>
        </w:rPr>
        <w:t xml:space="preserve">Максим Смирнов</w:t>
      </w:r>
      <w:r>
        <w:rPr>
          <w:b w:val="0"/>
          <w:bCs w:val="0"/>
          <w:color w:val="000000"/>
          <w:lang w:eastAsia="ru-RU"/>
        </w:rPr>
        <w:t xml:space="preserve">, в рамках внедрения НСПД в процесс оказания государственных услуг проведен ряд семинаров для ФОИВ по трем сценариям использования платформы. Оказание госуслуг может осуществляться на самом портале НСПД, в рамках картографического компонента, который встра</w:t>
      </w:r>
      <w:r>
        <w:rPr>
          <w:b w:val="0"/>
          <w:bCs w:val="0"/>
          <w:color w:val="000000"/>
          <w:lang w:eastAsia="ru-RU"/>
        </w:rPr>
        <w:t xml:space="preserve">ивается в информационные системы ФОИВ, а также с помощью сервисов платформы. В результате разработаны и направлены на согласование 64 проекта соответствующих дорожных карт.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Начальник Управления развития НСПД Росреестра </w:t>
      </w:r>
      <w:r>
        <w:rPr>
          <w:b w:val="0"/>
          <w:bCs w:val="0"/>
          <w:color w:val="000000"/>
          <w:lang w:eastAsia="ru-RU"/>
        </w:rPr>
        <w:t xml:space="preserve">Сергей Щеглов</w:t>
      </w:r>
      <w:r>
        <w:rPr>
          <w:b w:val="0"/>
          <w:bCs w:val="0"/>
          <w:color w:val="000000"/>
          <w:lang w:eastAsia="ru-RU"/>
        </w:rPr>
        <w:t xml:space="preserve"> отметил, что карткомпонент НСПД на федеральном уровне используют 7 информационных систем в 7 ФОИВ, еще с 5 ведомствами и министерствами ведется работа по его встраиванию.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Заместитель директора филиала ППК «Роскадастр» ЦИТ «Роскадастр-Инфотех» </w:t>
      </w:r>
      <w:r>
        <w:rPr>
          <w:b w:val="0"/>
          <w:bCs w:val="0"/>
          <w:color w:val="000000"/>
          <w:lang w:eastAsia="ru-RU"/>
        </w:rPr>
        <w:t xml:space="preserve">Василий Баландин</w:t>
      </w:r>
      <w:r>
        <w:rPr>
          <w:b w:val="0"/>
          <w:bCs w:val="0"/>
          <w:color w:val="000000"/>
          <w:lang w:eastAsia="ru-RU"/>
        </w:rPr>
        <w:t xml:space="preserve"> отметил результаты взаимодействия с Минсельхозом России по оптимизации сервиса НСПД «Земля для фермы» - в части встраивания карткомпонента и работе с данными ФГИС ЕГРН. Это актуально для Минсельхоза России при установлении и определении границ участков, р</w:t>
      </w:r>
      <w:r>
        <w:rPr>
          <w:b w:val="0"/>
          <w:bCs w:val="0"/>
          <w:color w:val="000000"/>
          <w:lang w:eastAsia="ru-RU"/>
        </w:rPr>
        <w:t xml:space="preserve">азмещаемых на сервисе. В планах – разместить на «Земле для фермы» до 30 млн земельных участков.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Начальник управления научно-технического развития и инноваций в сфере геодезии, картографии и геоинформационных технологий ППК «Роскадастр» </w:t>
      </w:r>
      <w:r>
        <w:rPr>
          <w:b w:val="0"/>
          <w:bCs w:val="0"/>
          <w:color w:val="000000"/>
          <w:lang w:eastAsia="ru-RU"/>
        </w:rPr>
        <w:t xml:space="preserve">Фёдор Шкуров</w:t>
      </w:r>
      <w:r>
        <w:rPr>
          <w:b w:val="0"/>
          <w:bCs w:val="0"/>
          <w:color w:val="000000"/>
          <w:lang w:eastAsia="ru-RU"/>
        </w:rPr>
        <w:t xml:space="preserve"> представил результаты разработки нового учебного курса, который позволяет ознакомиться с конкретными инструментами и способами работы с НСПД и пространственными данными.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По его словам, курс «Инновации в национальной инфраструктуре пространственных данных</w:t>
      </w:r>
      <w:r>
        <w:rPr>
          <w:b w:val="0"/>
          <w:bCs w:val="0"/>
          <w:color w:val="000000"/>
          <w:lang w:eastAsia="ru-RU"/>
        </w:rPr>
        <w:t xml:space="preserve"> в целях устойчивого развития территорий» создан Корпоративным университетом ППК «Роскадастр» совместно с филиалом ЦИТ «Роскадастр-Инфотех». Он содержит порядка 30 видеолекций, которые предназначены для различных целевых аудиторий. Это специалисты, непосре</w:t>
      </w:r>
      <w:r>
        <w:rPr>
          <w:b w:val="0"/>
          <w:bCs w:val="0"/>
          <w:color w:val="000000"/>
          <w:lang w:eastAsia="ru-RU"/>
        </w:rPr>
        <w:t xml:space="preserve">дственно работающие с пространственными данными, управленцы, курирующие работу государственных информационных систем, и аналитики, которым нужно понимать, как встроить те или иные возможности ФГИС ЕЦП НСПД в свою работу.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завершение встречи </w:t>
      </w:r>
      <w:r>
        <w:rPr>
          <w:b w:val="0"/>
          <w:bCs w:val="0"/>
          <w:color w:val="000000"/>
          <w:lang w:eastAsia="ru-RU"/>
        </w:rPr>
        <w:t xml:space="preserve">Олег Скуфинский</w:t>
      </w:r>
      <w:r>
        <w:rPr>
          <w:b w:val="0"/>
          <w:bCs w:val="0"/>
          <w:color w:val="000000"/>
          <w:lang w:eastAsia="ru-RU"/>
        </w:rPr>
        <w:t xml:space="preserve"> предложил участникам рабочей группы дать обратную связь по формированию и актуализации единой электронной картографической основы (ЕЭКО). Это необходимо для формирования законодательных, технологических и организационных подходов к переходу ЕЭКО на новый </w:t>
      </w:r>
      <w:r>
        <w:rPr>
          <w:b w:val="0"/>
          <w:bCs w:val="0"/>
          <w:color w:val="000000"/>
          <w:lang w:eastAsia="ru-RU"/>
        </w:rPr>
        <w:t xml:space="preserve">технологический уровень. Такой переход важен для обеспечения потребностей государства, граждан и бизнеса в картограф</w:t>
      </w:r>
      <w:r>
        <w:rPr>
          <w:b w:val="0"/>
          <w:bCs w:val="0"/>
          <w:color w:val="000000"/>
          <w:lang w:eastAsia="ru-RU"/>
        </w:rPr>
        <w:t xml:space="preserve">ической основе НСПД.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:lang w:eastAsia="ru-RU"/>
        </w:rPr>
        <w:t xml:space="preserve">4. </w:t>
      </w:r>
      <w:r>
        <w:rPr>
          <w:b/>
          <w:bCs/>
          <w:color w:val="000000"/>
          <w:lang w:eastAsia="ru-RU"/>
        </w:rPr>
        <w:t xml:space="preserve">Как защитить свою недвижимость?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Для многих собственников актуален вопрос: как обезопасить свою недвижимость от незаконных сделок? Расскажем, что можно сделать для юридической защиты своих объектов.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Первое, что рекомендуют эксперты – актуализировать контактные данные в Едином государстве</w:t>
      </w:r>
      <w:r>
        <w:rPr>
          <w:b w:val="0"/>
          <w:bCs w:val="0"/>
          <w:color w:val="000000"/>
          <w:lang w:eastAsia="ru-RU"/>
        </w:rPr>
        <w:t xml:space="preserve">нном реестре недвижимости (ЕГРН), подав заявление о внесении или изменении сведений об адресе электронной почты и почтовом адресе. Если в отношении объекта недвижимости подано заявление о регистрации перехода прав, правообладатель сразу получит официальное</w:t>
      </w:r>
      <w:r>
        <w:rPr>
          <w:b w:val="0"/>
          <w:bCs w:val="0"/>
          <w:color w:val="000000"/>
          <w:lang w:eastAsia="ru-RU"/>
        </w:rPr>
        <w:t xml:space="preserve"> уведомление при условии, что контакты актуализированы.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Также надежным способом защитить свою недвижимость является подача </w:t>
      </w:r>
      <w:hyperlink r:id="rId27" w:tooltip="https://www.consultant.ru/document/cons_doc_LAW_182661/1bb209ee024aa5a0306bf99ee78ae02e20d1b459/" w:history="1">
        <w:r>
          <w:rPr>
            <w:b w:val="0"/>
            <w:bCs w:val="0"/>
            <w:color w:val="000000"/>
            <w:lang w:eastAsia="ru-RU"/>
          </w:rPr>
          <w:t xml:space="preserve">заявления</w:t>
        </w:r>
      </w:hyperlink>
      <w:r>
        <w:rPr>
          <w:b w:val="0"/>
          <w:bCs w:val="0"/>
          <w:color w:val="000000"/>
          <w:lang w:eastAsia="ru-RU"/>
        </w:rPr>
        <w:t xml:space="preserve"> о невозможности регистрации без личного участия правообладателя. Соответствующая запись в ЕГРН является запретом на любые операции с недвижимостью представителем по доверенности, регистрация может быть осуществлена только при личном присутствии правооблад</w:t>
      </w:r>
      <w:r>
        <w:rPr>
          <w:b w:val="0"/>
          <w:bCs w:val="0"/>
          <w:color w:val="000000"/>
          <w:lang w:eastAsia="ru-RU"/>
        </w:rPr>
        <w:t xml:space="preserve">ателя.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Актуализировать контактные данные и подать заявление для установления запрета на регистрацию без личного участия можно бесплатно: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через </w:t>
      </w:r>
      <w:hyperlink r:id="rId28" w:tooltip="https://www.rustore.ru/catalog/app/ru.rosreestr.mobile" w:history="1">
        <w:r>
          <w:rPr>
            <w:b w:val="0"/>
            <w:bCs w:val="0"/>
            <w:color w:val="000000"/>
            <w:lang w:eastAsia="ru-RU"/>
          </w:rPr>
          <w:t xml:space="preserve">мобильное приложение</w:t>
        </w:r>
      </w:hyperlink>
      <w:r>
        <w:rPr>
          <w:b w:val="0"/>
          <w:bCs w:val="0"/>
          <w:color w:val="000000"/>
          <w:lang w:eastAsia="ru-RU"/>
        </w:rPr>
        <w:t xml:space="preserve"> Росреестра;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личном кабинете на официальном </w:t>
      </w:r>
      <w:hyperlink r:id="rId29" w:tooltip="https://rosreestr.gov.ru/" w:history="1">
        <w:r>
          <w:rPr>
            <w:b w:val="0"/>
            <w:bCs w:val="0"/>
            <w:color w:val="000000"/>
            <w:lang w:eastAsia="ru-RU"/>
          </w:rPr>
          <w:t xml:space="preserve">сайте</w:t>
        </w:r>
      </w:hyperlink>
      <w:r>
        <w:rPr>
          <w:b w:val="0"/>
          <w:bCs w:val="0"/>
          <w:color w:val="000000"/>
          <w:lang w:eastAsia="ru-RU"/>
        </w:rPr>
        <w:t xml:space="preserve"> Росреестра;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 </w:t>
      </w:r>
      <w:hyperlink r:id="rId30" w:tooltip="https://www.gosuslugi.ru/" w:history="1">
        <w:r>
          <w:rPr>
            <w:b w:val="0"/>
            <w:bCs w:val="0"/>
            <w:color w:val="000000"/>
            <w:lang w:eastAsia="ru-RU"/>
          </w:rPr>
          <w:t xml:space="preserve">портале</w:t>
        </w:r>
      </w:hyperlink>
      <w:r>
        <w:rPr>
          <w:b w:val="0"/>
          <w:bCs w:val="0"/>
          <w:color w:val="000000"/>
          <w:lang w:eastAsia="ru-RU"/>
        </w:rPr>
        <w:t xml:space="preserve">Госуслуг;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right="0" w:firstLine="709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любом офисе центра «Мои документы» (</w:t>
      </w:r>
      <w:hyperlink r:id="rId31" w:tooltip="https://mfc-nso.ru/" w:history="1">
        <w:r>
          <w:rPr>
            <w:b w:val="0"/>
            <w:bCs w:val="0"/>
            <w:color w:val="000000"/>
            <w:lang w:eastAsia="ru-RU"/>
          </w:rPr>
          <w:t xml:space="preserve">МФЦ</w:t>
        </w:r>
      </w:hyperlink>
      <w:r>
        <w:rPr>
          <w:b w:val="0"/>
          <w:bCs w:val="0"/>
          <w:color w:val="000000"/>
          <w:lang w:eastAsia="ru-RU"/>
        </w:rPr>
        <w:t xml:space="preserve">).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  <w:t xml:space="preserve">5.</w:t>
      </w:r>
      <w:r>
        <w:rPr>
          <w:b/>
          <w:bCs/>
          <w:color w:val="292c2f"/>
          <w:highlight w:val="none"/>
          <w14:ligatures w14:val="none"/>
        </w:rPr>
        <w:t xml:space="preserve"> </w:t>
      </w:r>
      <w:r>
        <w:rPr>
          <w:b/>
          <w:bCs/>
          <w:color w:val="000000"/>
          <w:lang w:eastAsia="ru-RU"/>
        </w:rPr>
        <w:t xml:space="preserve">Алексей Бутовецкий рассказал студентам МГУ об изменениях в земельном законодательстве.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Статс-секретарь - заместитель руководителя Росреестра </w:t>
      </w:r>
      <w:r>
        <w:rPr>
          <w:b w:val="0"/>
          <w:bCs w:val="0"/>
          <w:color w:val="000000"/>
          <w:lang w:eastAsia="ru-RU"/>
        </w:rPr>
        <w:t xml:space="preserve">Алексей Бутовецкий</w:t>
      </w:r>
      <w:r>
        <w:rPr>
          <w:b w:val="0"/>
          <w:bCs w:val="0"/>
          <w:color w:val="000000"/>
          <w:lang w:eastAsia="ru-RU"/>
        </w:rPr>
        <w:t xml:space="preserve"> выступил перед студентами-юристами Московского государственного университета им. М.В. Ломоносова в рамках заседания научного студенческого кружка кафедры экологического и земельного права юридического факультета.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В ходе встречи он рассказал о порядке при</w:t>
      </w:r>
      <w:r>
        <w:rPr>
          <w:b w:val="0"/>
          <w:bCs w:val="0"/>
          <w:color w:val="000000"/>
          <w:lang w:eastAsia="ru-RU"/>
        </w:rPr>
        <w:t xml:space="preserve">менения Федерального закона № 295-ФЗ от 31.07.2025, который вводит в Земельный кодекс РФ отдельную главу, регулирующую виды разрешённого использования (ВРИ) земельных участков.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Ранее порядок установления ВРИ земельных участков однозначно определен не был.</w:t>
      </w:r>
      <w:r>
        <w:rPr>
          <w:b w:val="0"/>
          <w:bCs w:val="0"/>
          <w:color w:val="000000"/>
          <w:lang w:eastAsia="ru-RU"/>
        </w:rPr>
        <w:t xml:space="preserve"> Закон стал результатом многолетней работы Росреестра и основывается на значительном массиве правоприменительной и судебной практики.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«</w:t>
      </w:r>
      <w:r>
        <w:rPr>
          <w:b w:val="0"/>
          <w:bCs w:val="0"/>
          <w:color w:val="000000"/>
          <w:lang w:eastAsia="ru-RU"/>
        </w:rPr>
        <w:t xml:space="preserve">Принятие этого закона - важный шаг в совершенствовании земельного законодательства. Он направлен на повышение прозрачности и удобства использования земельных участков, что особенно значимо как для граждан, так и для бизнеса</w:t>
      </w:r>
      <w:r>
        <w:rPr>
          <w:b w:val="0"/>
          <w:bCs w:val="0"/>
          <w:color w:val="000000"/>
          <w:lang w:eastAsia="ru-RU"/>
        </w:rPr>
        <w:t xml:space="preserve">», - подчеркнул </w:t>
      </w:r>
      <w:r>
        <w:rPr>
          <w:b w:val="0"/>
          <w:bCs w:val="0"/>
          <w:color w:val="000000"/>
          <w:lang w:eastAsia="ru-RU"/>
        </w:rPr>
        <w:t xml:space="preserve">Алексей Бутовецкий</w:t>
      </w:r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Он</w:t>
      </w:r>
      <w:r>
        <w:rPr>
          <w:b w:val="0"/>
          <w:bCs w:val="0"/>
          <w:color w:val="000000"/>
          <w:lang w:eastAsia="ru-RU"/>
        </w:rPr>
        <w:t xml:space="preserve"> </w:t>
      </w:r>
      <w:r>
        <w:rPr>
          <w:b w:val="0"/>
          <w:bCs w:val="0"/>
          <w:color w:val="000000"/>
          <w:lang w:eastAsia="ru-RU"/>
        </w:rPr>
        <w:t xml:space="preserve">подробно осветил ключевые изменения, предусмотренные законом. Особое внимание было уделено механизмам определения ВРИ, которые впервые получили четкое законодательное закрепление. В частности, закреплена система источников установления ВРИ для различных ка</w:t>
      </w:r>
      <w:r>
        <w:rPr>
          <w:b w:val="0"/>
          <w:bCs w:val="0"/>
          <w:color w:val="000000"/>
          <w:lang w:eastAsia="ru-RU"/>
        </w:rPr>
        <w:t xml:space="preserve">тегорий земель. Установлен порядок изменения ВРИ - определено кто, как и при каких условиях может выбрать вид разрешенного использования земельного участка. Также установлены случаи, когда использование участков допускается вне зависимости от ВРИ, например</w:t>
      </w:r>
      <w:r>
        <w:rPr>
          <w:b w:val="0"/>
          <w:bCs w:val="0"/>
          <w:color w:val="000000"/>
          <w:lang w:eastAsia="ru-RU"/>
        </w:rPr>
        <w:t xml:space="preserve">, для геодезических пунктов или некапитальных строений. В некоторых случаях ВРИ определяется документацией по планировке территории.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Кроме того, обсуждались нововведения, касающиеся земель общего пользования, земель сельскохозяйственного назначения и земе</w:t>
      </w:r>
      <w:r>
        <w:rPr>
          <w:b w:val="0"/>
          <w:bCs w:val="0"/>
          <w:color w:val="000000"/>
          <w:lang w:eastAsia="ru-RU"/>
        </w:rPr>
        <w:t xml:space="preserve">ль обороны.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После официальной части участники продолжили обсуждение в неформальной обстановке в научно-образовательном центре экологического, земельного и градостроительного права, созданном на базе юридического факультета МГУ. Центр, отметивший в этом го</w:t>
      </w:r>
      <w:r>
        <w:rPr>
          <w:b w:val="0"/>
          <w:bCs w:val="0"/>
          <w:color w:val="000000"/>
          <w:lang w:eastAsia="ru-RU"/>
        </w:rPr>
        <w:t xml:space="preserve">ду свой второй день рождения, стал площадкой для профессионального диалога между представите</w:t>
      </w:r>
      <w:r>
        <w:rPr>
          <w:b w:val="0"/>
          <w:bCs w:val="0"/>
          <w:color w:val="000000"/>
          <w:lang w:eastAsia="ru-RU"/>
        </w:rPr>
        <w:t xml:space="preserve">лями науки, образования и практической сферы.</w:t>
      </w:r>
      <w:r>
        <w:rPr>
          <w:b w:val="0"/>
          <w:bCs w:val="0"/>
          <w:color w:val="000000"/>
          <w:highlight w:val="none"/>
          <w:lang w:eastAsia="ru-RU"/>
          <w14:ligatures w14:val="none"/>
        </w:rPr>
      </w:r>
      <w:r>
        <w:rPr>
          <w:b w:val="0"/>
          <w:bCs w:val="0"/>
          <w:color w:val="000000"/>
          <w:highlight w:val="none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  <w:t xml:space="preserve">6.</w:t>
      </w:r>
      <w:r>
        <w:rPr>
          <w:b/>
          <w:bCs/>
          <w:color w:val="292c2f"/>
          <w:highlight w:val="none"/>
          <w14:ligatures w14:val="none"/>
        </w:rPr>
        <w:t xml:space="preserve"> </w:t>
      </w:r>
      <w:r>
        <w:rPr>
          <w:b/>
          <w:bCs/>
          <w:color w:val="292c2f"/>
          <w:highlight w:val="none"/>
          <w14:ligatures w14:val="none"/>
        </w:rPr>
        <w:t xml:space="preserve">Мобильное приложение Росреестра стало доступно на всех основных платформах</w:t>
      </w:r>
      <w:r>
        <w:rPr>
          <w:b/>
          <w:bCs/>
          <w:color w:val="000000"/>
          <w14:ligatures w14:val="none"/>
        </w:rPr>
        <w:t xml:space="preserve">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Ранее Росреестр представил мобильное приложение для устройств на платформе Android в магазинах RuStore и Google Play. Теперь оно стало доступно на всех платформах.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Приложение направлено на повышение доступности государственных услуг в цифровом формате для широкого круга пользователей - от граждан до профессиональных кадастровых инженеров.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«</w:t>
      </w:r>
      <w:r>
        <w:rPr>
          <w:b w:val="0"/>
          <w:bCs w:val="0"/>
          <w:color w:val="000000"/>
          <w:lang w:eastAsia="ru-RU"/>
        </w:rPr>
        <w:t xml:space="preserve">Наша цель - сделать государственные услуги максимально удобными и доступными в любом месте и в любое время. Запуск приложения во всех магазинах мобильных приложений завершает этап полной кроссплатформенной доступности. Теперь пользователи всех популярных о</w:t>
      </w:r>
      <w:r>
        <w:rPr>
          <w:b w:val="0"/>
          <w:bCs w:val="0"/>
          <w:color w:val="000000"/>
          <w:lang w:eastAsia="ru-RU"/>
        </w:rPr>
        <w:t xml:space="preserve">перационных систем могут получать ряд услуг Росреестра прямо со своего смартфона», - отметил заместитель руководителя Росреестра Максим Смирнов.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</w:t>
      </w:r>
      <w:r>
        <w:rPr>
          <w:b w:val="0"/>
          <w:bCs w:val="0"/>
          <w:color w:val="000000"/>
          <w:lang w:eastAsia="ru-RU"/>
        </w:rPr>
        <w:t xml:space="preserve">лючевой функционал приложения включает синхронизацию с личным кабинетом на официальном портале ведомства, что обеспечивает удобный доступ к своим данным и истории обращений с мобильных устройств. Пользователи могут получать актуальные сведения об объектах </w:t>
      </w:r>
      <w:r>
        <w:rPr>
          <w:b w:val="0"/>
          <w:bCs w:val="0"/>
          <w:color w:val="000000"/>
          <w:lang w:eastAsia="ru-RU"/>
        </w:rPr>
        <w:t xml:space="preserve">недвижимости, включая технические характеристики и кадастровую стоимость.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приложении реализован расширенный поиск объектов по кадастровому номеру или адресу с отображением на публичной кадастровой карте. Доступны различные слои пространственных данных, поиск ближайших офисов Росреестра и электронная запись на приём.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Также через мобильный сервис можно подавать заявления на корректировку контактных данных, исправление технических ошибок и другие административные процедуры с возможностью отслеживать статус рассмотрения в реальном времени.</w:t>
      </w:r>
      <w:r/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Дополнительный функционал включает уведомления о продаже долей в праве общей собственности, доступ к актуальным новостям ведомства, оперативное взаимодействие со службой поддержки и интегрированную систему поиска по содержанию приложения.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  <w:t xml:space="preserve">7. </w:t>
      </w:r>
      <w:r>
        <w:rPr>
          <w:b/>
          <w:bCs/>
          <w:color w:val="000000"/>
          <w14:ligatures w14:val="none"/>
        </w:rPr>
        <w:t xml:space="preserve">Росреестр в Совете Федерации предложил законодательно закрепить информационный обмен с ГИС ЖКХ</w:t>
      </w:r>
      <w:r>
        <w:rPr>
          <w:b/>
          <w:bCs/>
          <w:color w:val="000000"/>
          <w14:ligatures w14:val="none"/>
        </w:rPr>
        <w:t xml:space="preserve">.</w:t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Статс-секретарь –заместитель руководителя Росреестра Алексей Бутовецкий предложил законодательно закрепить обмен данными между информационными системами Росреестра и ГИС ЖКХ.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Р</w:t>
      </w:r>
      <w:r>
        <w:rPr>
          <w:b w:val="0"/>
          <w:bCs w:val="0"/>
          <w:color w:val="000000"/>
          <w:highlight w:val="none"/>
          <w14:ligatures w14:val="none"/>
        </w:rPr>
        <w:t xml:space="preserve">азвитие системы ГИС ЖКХ как инструмента управления жилищной сферой обсудили на заседании Совета по вопросам жилищного строительства и содействия развитию жилищно-коммунального комплекса под руководством первого заместителя председателя Совета Федерации Вла</w:t>
      </w:r>
      <w:r>
        <w:rPr>
          <w:b w:val="0"/>
          <w:bCs w:val="0"/>
          <w:color w:val="000000"/>
          <w:highlight w:val="none"/>
          <w14:ligatures w14:val="none"/>
        </w:rPr>
        <w:t xml:space="preserve">димира Якушева.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Р</w:t>
      </w:r>
      <w:r>
        <w:rPr>
          <w:b w:val="0"/>
          <w:bCs w:val="0"/>
          <w:color w:val="000000"/>
          <w:highlight w:val="none"/>
          <w14:ligatures w14:val="none"/>
        </w:rPr>
        <w:t xml:space="preserve">осреестр и Минстрой РФ совместно работают над повышением качества данных в ГИС ЖКХ. В результате передача данных из подсистемы «Витрина данных ЕГРН» ведется ежедневно, для быстрого уточнения сведений оператору ГИС ЖКХ организован доступ к информационной си</w:t>
      </w:r>
      <w:r>
        <w:rPr>
          <w:b w:val="0"/>
          <w:bCs w:val="0"/>
          <w:color w:val="000000"/>
          <w:highlight w:val="none"/>
          <w14:ligatures w14:val="none"/>
        </w:rPr>
        <w:t xml:space="preserve">стеме. С февраля 2025 года Служба занимается верификацией сведений о многоквартирных домах и помещениях в них. Эту работу планируется завершить до середины 2026 года.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«</w:t>
      </w:r>
      <w:r>
        <w:rPr>
          <w:b w:val="0"/>
          <w:bCs w:val="0"/>
          <w:color w:val="000000"/>
          <w:highlight w:val="none"/>
          <w14:ligatures w14:val="none"/>
        </w:rPr>
        <w:t xml:space="preserve">Росреестр проанализировал сведения о МКД, которые содержат разночтения в ГИС ЖКХ и ЕГРН в отношении 64730 домов. Мы дополнили данными о кадастровом номере и площади 46 тыс. объектов, в отношении 17 тыс. объектов сведения не установлены из-за отсутствия тех</w:t>
      </w:r>
      <w:r>
        <w:rPr>
          <w:b w:val="0"/>
          <w:bCs w:val="0"/>
          <w:color w:val="000000"/>
          <w:highlight w:val="none"/>
          <w14:ligatures w14:val="none"/>
        </w:rPr>
        <w:t xml:space="preserve">н</w:t>
      </w:r>
      <w:r>
        <w:rPr>
          <w:b w:val="0"/>
          <w:bCs w:val="0"/>
          <w:color w:val="000000"/>
          <w:highlight w:val="none"/>
          <w14:ligatures w14:val="none"/>
        </w:rPr>
        <w:t xml:space="preserve">ической документации. Кроме того, были проанализированы помещения в МКД - 149 тыс. объектов, что составляет почти 44% от общего количества данных (341 тыс. МКД), выявили и устранили ошибки в 37 тыс. МКД. Главным вопросом остается отсутствие сведений о прав</w:t>
      </w:r>
      <w:r>
        <w:rPr>
          <w:b w:val="0"/>
          <w:bCs w:val="0"/>
          <w:color w:val="000000"/>
          <w:highlight w:val="none"/>
          <w14:ligatures w14:val="none"/>
        </w:rPr>
        <w:t xml:space="preserve">о</w:t>
      </w:r>
      <w:r>
        <w:rPr>
          <w:b w:val="0"/>
          <w:bCs w:val="0"/>
          <w:color w:val="000000"/>
          <w:highlight w:val="none"/>
          <w14:ligatures w14:val="none"/>
        </w:rPr>
        <w:t xml:space="preserve">обладателях жилых помещений. Так, на 9,3 млн помещений, которые построены в рамках договора долевого участия в строительстве и уже переданы гражданам, не зарегистрированы права собственности. Люди живут в квартирах, пользуются коммунальными услугами, но на</w:t>
      </w:r>
      <w:r>
        <w:rPr>
          <w:b w:val="0"/>
          <w:bCs w:val="0"/>
          <w:color w:val="000000"/>
          <w:highlight w:val="none"/>
          <w14:ligatures w14:val="none"/>
        </w:rPr>
        <w:t xml:space="preserve">логи не платят», - сообщил Алексей Бутовецкий.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Для дальнейшего развития ГИС ЖКХ заместитель руководителя Росреестра предложил рассмотреть вопрос о законодательной инициативе для организации информационного обмена между системами, что поможет улучшить качество данных.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Е</w:t>
      </w:r>
      <w:r>
        <w:rPr>
          <w:b w:val="0"/>
          <w:bCs w:val="0"/>
          <w:color w:val="000000"/>
          <w:highlight w:val="none"/>
          <w14:ligatures w14:val="none"/>
        </w:rPr>
        <w:t xml:space="preserve">ще одним предложением от ведомства стало использование данных ГИС ЖКХ для создания и ведения реестра собственников, которое сейчас возложено на ТСЖ и ЖСК. Алексей Бутовецкий подчеркнул, что создание такого реестра должно происходить с соблюдением требовани</w:t>
      </w:r>
      <w:r>
        <w:rPr>
          <w:b w:val="0"/>
          <w:bCs w:val="0"/>
          <w:color w:val="000000"/>
          <w:highlight w:val="none"/>
          <w14:ligatures w14:val="none"/>
        </w:rPr>
        <w:t xml:space="preserve">й по защите персональных данных и ответственностью за их незаконное распространение.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Также статс-секретарь предложил рассмотреть возможность размещения застройщиками информации о передаче квартир собственникам по ДДУ.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Он отметил, что все предложения Росреестра могут дать практический эффект для развития ГИС ЖКХ и жилищно-коммунального комплекса в регионах.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В</w:t>
      </w:r>
      <w:r>
        <w:rPr>
          <w:b w:val="0"/>
          <w:bCs w:val="0"/>
          <w:color w:val="000000"/>
          <w:highlight w:val="none"/>
          <w14:ligatures w14:val="none"/>
        </w:rPr>
        <w:t xml:space="preserve">ладимир Якушев и министр строительства и жилищно-коммунального хозяйства РФ Ирек Файзуллин поддержали предложения ведомства. В числе остальных предложений, озвученных на заседании, они будут учтены при подготовке рекомендаций для Правительства РФ и профиль</w:t>
      </w:r>
      <w:r>
        <w:rPr>
          <w:b w:val="0"/>
          <w:bCs w:val="0"/>
          <w:color w:val="000000"/>
          <w:highlight w:val="none"/>
          <w14:ligatures w14:val="none"/>
        </w:rPr>
        <w:t xml:space="preserve">ных министерств.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line="240" w:lineRule="auto"/>
        <w:rPr>
          <w:b w:val="0"/>
          <w:bCs w:val="0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В</w:t>
      </w:r>
      <w:r>
        <w:rPr>
          <w:b w:val="0"/>
          <w:bCs w:val="0"/>
          <w:color w:val="000000"/>
          <w:highlight w:val="none"/>
          <w14:ligatures w14:val="none"/>
        </w:rPr>
        <w:t xml:space="preserve"> заседании совета также принимали участие председатель Комитета СФ по федеративному устройству, региональной политике, местному самоуправлению и делам Севера Андрей Шевченко, председатель Комитета СФ по Регламенту и организации парламентской деятельности В</w:t>
      </w:r>
      <w:r>
        <w:rPr>
          <w:b w:val="0"/>
          <w:bCs w:val="0"/>
          <w:color w:val="000000"/>
          <w:highlight w:val="none"/>
          <w14:ligatures w14:val="none"/>
        </w:rPr>
        <w:t xml:space="preserve">ячеслав Тимченко, сенаторы, аудитор Счетной палаты РФ Наталья Трунова, генеральный директор Судебного департамента при Верховном Суде Российской Федерации Владислав Иванов, представители регионов, научного и экспертного сообщества.</w:t>
      </w:r>
      <w:r>
        <w:rPr>
          <w:b w:val="0"/>
          <w:bCs w:val="0"/>
          <w:color w:val="000000"/>
          <w14:ligatures w14:val="none"/>
        </w:rPr>
      </w:r>
      <w:r>
        <w:rPr>
          <w:b w:val="0"/>
          <w:bCs w:val="0"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</w:r>
      <w:r>
        <w:rPr>
          <w:b w:val="0"/>
          <w:bCs w:val="0"/>
          <w:color w:val="000000"/>
          <w14:ligatures w14:val="none"/>
        </w:rPr>
      </w:r>
      <w:r>
        <w:rPr>
          <w:b w:val="0"/>
          <w:bCs w:val="0"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14:ligatures w14:val="none"/>
        </w:rPr>
        <w:t xml:space="preserve">8. </w:t>
      </w:r>
      <w:r>
        <w:rPr>
          <w:b/>
          <w:bCs/>
          <w:color w:val="000000"/>
          <w14:ligatures w14:val="none"/>
        </w:rPr>
        <w:t xml:space="preserve">Росреестр разработал законопроекты для повышения эффективности государственного и муниципального земельного надзора</w:t>
      </w:r>
      <w:r>
        <w:rPr>
          <w:b/>
          <w:bCs/>
          <w:color w:val="000000"/>
          <w14:ligatures w14:val="none"/>
        </w:rPr>
        <w:t xml:space="preserve">.</w:t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Росреестр в рамках исполнения указания Президента РФ разработал два законопроекта, направленных на повышение эффективности муниципального земельного контроля и расширение применения современных технологий в ходе контрольно-надзорной деятельности. Это позво</w:t>
      </w:r>
      <w:r>
        <w:rPr>
          <w:b w:val="0"/>
          <w:bCs w:val="0"/>
          <w:color w:val="000000"/>
          <w:highlight w:val="none"/>
          <w14:ligatures w14:val="none"/>
        </w:rPr>
        <w:t xml:space="preserve">лит автоматизировать процессы, сократить временные издержки правообладателей и будет стимулировать к устранению выявленных нарушений земельного законодательства.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Как сообщил статс-секретарь – заместитель руководителя Росреестра </w:t>
      </w:r>
      <w:r>
        <w:rPr>
          <w:b w:val="0"/>
          <w:bCs w:val="0"/>
          <w:color w:val="000000"/>
          <w:highlight w:val="none"/>
          <w14:ligatures w14:val="none"/>
        </w:rPr>
        <w:t xml:space="preserve">Алексей Бутовецкий</w:t>
      </w:r>
      <w:r>
        <w:rPr>
          <w:b w:val="0"/>
          <w:bCs w:val="0"/>
          <w:color w:val="000000"/>
          <w:highlight w:val="none"/>
          <w14:ligatures w14:val="none"/>
        </w:rPr>
        <w:t xml:space="preserve">, сегодня в России всего </w:t>
      </w:r>
      <w:r>
        <w:rPr>
          <w:b w:val="0"/>
          <w:bCs w:val="0"/>
          <w:color w:val="000000"/>
          <w:highlight w:val="none"/>
          <w14:ligatures w14:val="none"/>
        </w:rPr>
        <w:t xml:space="preserve">17,5 тыс.</w:t>
      </w:r>
      <w:r>
        <w:rPr>
          <w:b w:val="0"/>
          <w:bCs w:val="0"/>
          <w:color w:val="000000"/>
          <w:highlight w:val="none"/>
          <w14:ligatures w14:val="none"/>
        </w:rPr>
        <w:t xml:space="preserve"> муниципальных образований, и только в </w:t>
      </w:r>
      <w:r>
        <w:rPr>
          <w:b w:val="0"/>
          <w:bCs w:val="0"/>
          <w:color w:val="000000"/>
          <w:highlight w:val="none"/>
          <w14:ligatures w14:val="none"/>
        </w:rPr>
        <w:t xml:space="preserve">3,2 тыс. (18%)</w:t>
      </w:r>
      <w:r>
        <w:rPr>
          <w:b w:val="0"/>
          <w:bCs w:val="0"/>
          <w:color w:val="000000"/>
          <w:highlight w:val="none"/>
          <w14:ligatures w14:val="none"/>
        </w:rPr>
        <w:t xml:space="preserve"> осуществляется муниципальный земельный контроль. Такие низкие показатели распространения муниципального земельного контроля препятствуют выполнению задач по эффективному использованию земель, поставленных руководством страны.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  <w:t xml:space="preserve">«Законопроектом предусмотрено определение органа, который будет формировать государственную политику в сфере муниципального земельного контроля, осуществлять его координацию, а также распространять лучшие практики на всю территорию страны. Предполагается, </w:t>
      </w:r>
      <w:r>
        <w:rPr>
          <w:b w:val="0"/>
          <w:bCs w:val="0"/>
          <w:color w:val="000000"/>
          <w:highlight w:val="none"/>
          <w14:ligatures w14:val="none"/>
        </w:rPr>
        <w:t xml:space="preserve">что этим займется Росреестр. Изменения позволят усилить работу по выявлению неиспользуемых и используемых с нарушениями земель и вовлечению их в оборот, создадут новые условия для развития территорий и формирования благоустроенных и ухоженных населенных пу</w:t>
      </w:r>
      <w:r>
        <w:rPr>
          <w:b w:val="0"/>
          <w:bCs w:val="0"/>
          <w:color w:val="000000"/>
          <w:highlight w:val="none"/>
          <w14:ligatures w14:val="none"/>
        </w:rPr>
        <w:t xml:space="preserve">нктов. Кроме того, сведения о результатах муниципального контроля будут вноситься в ЕГРН – таким образом, все заинтересованные лица смогут получать информацию о наличии нарушений обязательных требований»,</w:t>
      </w:r>
      <w:r>
        <w:rPr>
          <w:b w:val="0"/>
          <w:bCs w:val="0"/>
          <w:color w:val="000000"/>
          <w:highlight w:val="none"/>
          <w14:ligatures w14:val="none"/>
        </w:rPr>
        <w:t xml:space="preserve"> - сказал </w:t>
      </w:r>
      <w:r>
        <w:rPr>
          <w:b w:val="0"/>
          <w:bCs w:val="0"/>
          <w:color w:val="000000"/>
          <w:highlight w:val="none"/>
          <w14:ligatures w14:val="none"/>
        </w:rPr>
        <w:t xml:space="preserve">Алексей Бутовецкий</w:t>
      </w:r>
      <w:r>
        <w:rPr>
          <w:b w:val="0"/>
          <w:bCs w:val="0"/>
          <w:color w:val="000000"/>
          <w:highlight w:val="none"/>
          <w14:ligatures w14:val="none"/>
        </w:rPr>
        <w:t xml:space="preserve">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Также предусматривается наделить ППК «Роскадастр» полномочиями по государственному мониторингу земель (за исключением земель сельскохозяйственного назначения). Появится централизованный механизм проведения обследований, что повысит качество и эффективно</w:t>
      </w:r>
      <w:r>
        <w:rPr>
          <w:b w:val="0"/>
          <w:bCs w:val="0"/>
          <w:color w:val="000000"/>
          <w:highlight w:val="none"/>
          <w14:ligatures w14:val="none"/>
        </w:rPr>
        <w:t xml:space="preserve">сть государственного земельного контроля (надзора).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Второй законопроект предусматривает расширение возможностей для применения беспилотных и пилотируемых авиационных систем и космических аппаратов в рамках государственного и муниципального земельного контроля (надзора).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  <w:t xml:space="preserve">«Это позволит обеспечить проведение контрольных (надзорных) мероприятий на большей территории и с меньшими временными затратами. Планируется введение механизма по аналогии с выявлением нарушений правил дорожного движения – то есть за счет новых технологий </w:t>
      </w:r>
      <w:r>
        <w:rPr>
          <w:b w:val="0"/>
          <w:bCs w:val="0"/>
          <w:color w:val="000000"/>
          <w:highlight w:val="none"/>
          <w14:ligatures w14:val="none"/>
        </w:rPr>
        <w:t xml:space="preserve">нарушение земельного законодательства может быть выявлено без взаимодействия с правообладателем и дополнительных проверок. При наличии достаточных свидетельств будут возбуждаться административные дела. Это снизит количество очных проверок, минимизирует кон</w:t>
      </w:r>
      <w:r>
        <w:rPr>
          <w:b w:val="0"/>
          <w:bCs w:val="0"/>
          <w:color w:val="000000"/>
          <w:highlight w:val="none"/>
          <w14:ligatures w14:val="none"/>
        </w:rPr>
        <w:t xml:space="preserve">такты правообладателей с инспекторами и сократит их временные затраты. Помимо прочего, повысится технологичность государственного и муниципального земнадзора, будут автоматизированы многие процессы и функции.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Для защиты правообладателей предлагается опред</w:t>
      </w:r>
      <w:r>
        <w:rPr>
          <w:b w:val="0"/>
          <w:bCs w:val="0"/>
          <w:color w:val="000000"/>
          <w:highlight w:val="none"/>
          <w14:ligatures w14:val="none"/>
        </w:rPr>
        <w:t xml:space="preserve">елить, что обращение в суд с требованием об изъятии земельного участка возможно только по результатам федерального государственного или муниципального земельного контроля (надзора). Сегодня в Земельном кодексе такое основание не закреплено, что создает поч</w:t>
      </w:r>
      <w:r>
        <w:rPr>
          <w:b w:val="0"/>
          <w:bCs w:val="0"/>
          <w:color w:val="000000"/>
          <w:highlight w:val="none"/>
          <w14:ligatures w14:val="none"/>
        </w:rPr>
        <w:t xml:space="preserve">ву для произвольных попыток изъятия земельных участков у граждан и юридических лиц»,</w:t>
      </w:r>
      <w:r>
        <w:rPr>
          <w:b w:val="0"/>
          <w:bCs w:val="0"/>
          <w:color w:val="000000"/>
          <w:highlight w:val="none"/>
          <w14:ligatures w14:val="none"/>
        </w:rPr>
        <w:t xml:space="preserve"> - отметил </w:t>
      </w:r>
      <w:r>
        <w:rPr>
          <w:b w:val="0"/>
          <w:bCs w:val="0"/>
          <w:color w:val="000000"/>
          <w:highlight w:val="none"/>
          <w14:ligatures w14:val="none"/>
        </w:rPr>
        <w:t xml:space="preserve">Алексей Бутовецкий</w:t>
      </w:r>
      <w:r>
        <w:rPr>
          <w:b w:val="0"/>
          <w:bCs w:val="0"/>
          <w:color w:val="000000"/>
          <w:highlight w:val="none"/>
          <w14:ligatures w14:val="none"/>
        </w:rPr>
        <w:t xml:space="preserve">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14:ligatures w14:val="none"/>
        </w:rPr>
        <w:t xml:space="preserve">За счет использования современных технических средств повысится объективность принятия решений в области государственного и муниципального земельного контроля (надзора). В целом комплекс мер будет стимулировать правообладателей обращать более пристально</w:t>
      </w:r>
      <w:r>
        <w:rPr>
          <w:b w:val="0"/>
          <w:bCs w:val="0"/>
          <w:color w:val="000000"/>
          <w:highlight w:val="none"/>
          <w14:ligatures w14:val="none"/>
        </w:rPr>
        <w:t xml:space="preserve">е внимание на состояние своих земельных участков и не допускать нарушений в сфере земельных отношений.</w:t>
      </w:r>
      <w:r>
        <w:rPr>
          <w:b w:val="0"/>
          <w:bCs w:val="0"/>
          <w:color w:val="000000"/>
          <w:highlight w:val="none"/>
          <w14:ligatures w14:val="none"/>
        </w:rPr>
      </w:r>
      <w:r>
        <w:rPr>
          <w:b w:val="0"/>
          <w:bCs w:val="0"/>
          <w:color w:val="000000"/>
          <w:highlight w:val="none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14:ligatures w14:val="none"/>
        </w:rPr>
        <w:t xml:space="preserve">9.</w:t>
      </w:r>
      <w:r>
        <w:rPr>
          <w:b/>
          <w:bCs/>
          <w:color w:val="000000" w:themeColor="text1"/>
          <w:highlight w:val="none"/>
          <w14:ligatures w14:val="none"/>
        </w:rPr>
        <w:t xml:space="preserve"> </w:t>
      </w:r>
      <w:r>
        <w:rPr>
          <w:b/>
          <w:bCs/>
          <w:color w:val="000000" w:themeColor="text1"/>
          <w:highlight w:val="none"/>
          <w14:ligatures w14:val="none"/>
        </w:rPr>
        <w:t xml:space="preserve">Росреестр с 2017 года поставил на кадастровый учет более 1 млн машино-мест</w:t>
      </w:r>
      <w:r>
        <w:rPr>
          <w:b/>
          <w:bCs/>
          <w:color w:val="000000" w:themeColor="text1"/>
          <w:highlight w:val="none"/>
          <w14:ligatures w14:val="none"/>
        </w:rPr>
        <w:t xml:space="preserve">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До 1 января 2017 года законодательство не определяло понятие машино-места. В Градостроительном Кодексе РФ (ГК РФ) содержалось понятие парковки (парковочного места). Федеральный закон от 03.07.2016 № 315-ФЗ и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сключил из ГК РФ понятие парковки и закрепил понят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ие машино-места.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П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од машино-местом понимается предназначенная исключительно для размещения транспортного средства индивидуально-определенная часть здания или сооружения, которая не ограничена либо частично ограничена строительной или иной ограждающей конструкцией и границы 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которой описаны в установленном законодательством о государственном кадастровом учете порядке.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«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Ежегодно наблюдается рост обращений граждан для постановки на кадастровый учет машино-мест. По итогам работы ведомства за 9 месяцев 2025 года на кадастровый учет поставлено 107,4 тыс. машино-мест – что на 9% больше по сравнению с аналогичным периодом прошл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го года (98,3 тыс.). В целом, начиная с 2017 года, на кадастровый учет по всей стране поставлено более 1 млн машино-мест общей площадью 15,6 млн кв. м. Лидерами по учету таких объектов недвижимости стали Центральный федеральный округ - почти 438 тыс. машин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о-мест, Северо-Западный – свыше 135 тыс. и Приволжский – около 118 тыс. машино-мест», - сообщил заместитель руководителя Росреестра Максим Смирнов.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 Центральном федеральном округе большая часть машино-мест поставлена на кадастровый учет в Москве – 344,7 тыс., Подмосковье - 58,9 тыс. и в Воронежской области – 10, 2 тыс.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 Северо-Западном федеральном округе таких объектов на кадастровом учете больше всего в Санкт-Петербурге – 109,8 тыс., Ленинградской – 12,6 тыс. и Калининградской областях (9,4 тыс.).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Лидерами по кадастровому учету машино-мест в Приволжском федеральном округе являются Республика Татарстан – 54,5 тыс., Республика Башкортостан – 14, 5 тыс. и Самарская область - 12,4 тыс.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Н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а 1 октября этого года в Южном федеральном округе на кадастровый учет ведомство поставило 113,6 тыс. таких объектов, в Уральском - 105,6 тыс., в Сибирском – 68,4 тыс. машино-мест. Еще 29,5 тыс. машино-мест находятся в Дальневосточном федеральном округе и 1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9,2 тыс. – в Северо-Кавказском.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На территории воссоединенных регионов на кадастровом учете состоят более 3,5 тыс. машино-мест.</w:t>
      </w: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10. </w:t>
      </w:r>
      <w:r>
        <w:rPr>
          <w:b/>
          <w:bCs/>
          <w:color w:val="000000" w:themeColor="text1"/>
          <w14:ligatures w14:val="none"/>
        </w:rPr>
        <w:t xml:space="preserve">Росреестр на конференции в Санкт-Петербурге обсудил переход кадастровой оценки на платформу НСПД</w:t>
      </w:r>
      <w:r>
        <w:rPr>
          <w:b/>
          <w:bCs/>
          <w:color w:val="000000" w:themeColor="text1"/>
          <w14:ligatures w14:val="none"/>
        </w:rPr>
        <w:t xml:space="preserve">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Санкт-Петербурге состоялась конференция «Государственная кадастровая оценка: новые перспективы», ключевой темой которой стала подготовка к проведению государственной кадастровой оценки (ГКО) с использованием единой цифровой платформы «Национальная система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пространственных данных». Мероприятие собрало представителей Росреестра, ППК «Роскадастр», региональных органов власти, бюджетных учреждений, наделенных полномочиями по определению кадастровой стоимости, рыночных оценщиков и экспертного сообщества из 70 ре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гионов России.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С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докладом о новом этапе развития ГКО выступила заместитель руководителя Росреестра Татьяна Громова. Она подчеркнула, что с 1 января 2026 года кадастровая оценка будет проводиться с использованием ФГИС «Единая цифровая платформа «Национальная система простр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анственных данных» (ЕЦП НСПД), что станет основой для качественно нового уровня работы.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«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Мы создаем единую цифровую среду для управления одним из ключевых процессов земельно-имущественной сферы в стране, – заявила Татьяна Громова. – С 2026 года все этапы государственной кадастровой оценки – от сбора данных до утверждения результатов – будут пр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оходить в едином технологическом процессе. Это гарантирует прозрачность государственной кадастровой оценки - в первую очередь, для правообладателя».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 своем выступлении она подробно остановилась на организационных аспектах предстоящих изменений, отметив установленные законом сроки переходного периода, в течение которого допускается наряду с ФГИС ЕЦП НСПД использовать иные информационные системы.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Т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акже Татьяна Громова проинформировала о задачах по повышению капитализации территории страны, поставленных Президентом Российской Федерации. Росреестром в указанном направлении проводится работа по наполнению ЕГРН необходимыми сведениями, вовлечению объект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ов недвижимости в экономический оборот, совершенствованию кадастровой оценки, контрольно-надзорной деятельности.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Технологическую сторону вопроса, включая новые возможности платформы для бюджетных учреждений, осветил заместитель директора филиала ППК «Роскадастр» - ЦИТ «Роскадастр – Инфотех» Василий Баландин.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«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Платформа НСПД предоставляет бюджетным учреждениям комплексное технологическое решение для работы с данными, включая пространственную информацию и данные о рынке недвижимости, – отметил Василий Баландин. – В ППК «Роскадастр» создана единая омниканальная си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стема технической поддержки, благодаря которой рассмотрение технических и методологических вопросов осуществляется в сжатые сроки».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Эксперты отметили, что перевод ГКО на платформу НСПД является важнейшим шагом на современном этапе развития кадастровой оценки и земельно-имущественных отношений в России.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11. </w:t>
      </w:r>
      <w:r>
        <w:rPr>
          <w:b/>
          <w:bCs/>
          <w:color w:val="000000" w:themeColor="text1"/>
          <w14:ligatures w14:val="none"/>
        </w:rPr>
        <w:t xml:space="preserve">Росреестр представил в Совете Федерации новый порядок изменения видов разрешенного использования земель</w:t>
      </w:r>
      <w:r>
        <w:rPr>
          <w:b/>
          <w:bCs/>
          <w:color w:val="000000" w:themeColor="text1"/>
          <w14:ligatures w14:val="none"/>
        </w:rPr>
        <w:t xml:space="preserve">.</w:t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С</w:t>
      </w:r>
      <w:r>
        <w:rPr>
          <w:b w:val="0"/>
          <w:bCs w:val="0"/>
          <w:color w:val="000000" w:themeColor="text1"/>
          <w14:ligatures w14:val="none"/>
        </w:rPr>
        <w:t xml:space="preserve">татс-секретарь — заместитель руководителя Росреестра Алексей Бутовецкий выступил на заседании Комитета Совета Федерации по аграрно-продовольственной политике и природопользованию. Мероприятие прошло под председательством заместителя председателя комитета Б</w:t>
      </w:r>
      <w:r>
        <w:rPr>
          <w:b w:val="0"/>
          <w:bCs w:val="0"/>
          <w:color w:val="000000" w:themeColor="text1"/>
          <w14:ligatures w14:val="none"/>
        </w:rPr>
        <w:t xml:space="preserve">елана Хамчиева и было посвящено совершенствованию законодательства Российской Федерации в части перевода земельных участков из одной категории в другую и определения видов их разрешённого использования.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</w:t>
      </w:r>
      <w:r>
        <w:rPr>
          <w:b w:val="0"/>
          <w:bCs w:val="0"/>
          <w:color w:val="000000" w:themeColor="text1"/>
          <w14:ligatures w14:val="none"/>
        </w:rPr>
        <w:t xml:space="preserve">о словам Алексея Бутовецкого, принятый по инициативе Росреестра Федеральный закон от 31 июля 2025 года № 295-ФЗ «О внесении изменений в Земельный кодекс Российской Федерации и отдельные законодательные акты Российской Федерации» устраняет двадцатилетнюю пр</w:t>
      </w:r>
      <w:r>
        <w:rPr>
          <w:b w:val="0"/>
          <w:bCs w:val="0"/>
          <w:color w:val="000000" w:themeColor="text1"/>
          <w14:ligatures w14:val="none"/>
        </w:rPr>
        <w:t xml:space="preserve">авовую неопределённость в сфере разрешённого использования земельных участков, не охваченных градостроительным регулированием.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Д</w:t>
      </w:r>
      <w:r>
        <w:rPr>
          <w:b w:val="0"/>
          <w:bCs w:val="0"/>
          <w:color w:val="000000" w:themeColor="text1"/>
          <w14:ligatures w14:val="none"/>
        </w:rPr>
        <w:t xml:space="preserve">олгие годы земли сельскохозяйственного назначения, лесного фонда, особо охраняемые природные территории и участки, используемые для недропользования, фактически оставались вне системы предсказуемого регулирования. Несмотря на то, что Земельный кодекс РФ 20</w:t>
      </w:r>
      <w:r>
        <w:rPr>
          <w:b w:val="0"/>
          <w:bCs w:val="0"/>
          <w:color w:val="000000" w:themeColor="text1"/>
          <w14:ligatures w14:val="none"/>
        </w:rPr>
        <w:t xml:space="preserve">0</w:t>
      </w:r>
      <w:r>
        <w:rPr>
          <w:b w:val="0"/>
          <w:bCs w:val="0"/>
          <w:color w:val="000000" w:themeColor="text1"/>
          <w14:ligatures w14:val="none"/>
        </w:rPr>
        <w:t xml:space="preserve">1 года провозгласил баланс между использованием и охраной земель, нормы об использовании были сведены к минимуму. Последующее принятие Градостроительного кодекса, напротив, исключило применение градостроительного регламента к особо ценным землям - в целях </w:t>
      </w:r>
      <w:r>
        <w:rPr>
          <w:b w:val="0"/>
          <w:bCs w:val="0"/>
          <w:color w:val="000000" w:themeColor="text1"/>
          <w14:ligatures w14:val="none"/>
        </w:rPr>
        <w:t xml:space="preserve">их сохранения. Однако на практике это привело к обратному эффекту: там, где градостроительное регулирование действовало, сложилась чёткая система землепользования, а на ценных территориях возник правовой вакуум.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Новый закон закрывает этот пробел. Впервые вводится система специализированных регламентов. Помимо градостроительного, виды разрешённого использования теперь будут устанавливаться лесохозяйственным регламентом и положением об особо охраняемой природной тер</w:t>
      </w:r>
      <w:r>
        <w:rPr>
          <w:b w:val="0"/>
          <w:bCs w:val="0"/>
          <w:color w:val="000000" w:themeColor="text1"/>
          <w14:ligatures w14:val="none"/>
        </w:rPr>
        <w:t xml:space="preserve">р</w:t>
      </w:r>
      <w:r>
        <w:rPr>
          <w:b w:val="0"/>
          <w:bCs w:val="0"/>
          <w:color w:val="000000" w:themeColor="text1"/>
          <w14:ligatures w14:val="none"/>
        </w:rPr>
        <w:t xml:space="preserve">итории. Соответствующие нормы включены непосредственно в Земельный кодекс РФ. Закон также решает 20-летнюю проблему недропользования - при наличии лицензии и утверждённой проектной документации вид разрешённого использования автоматически устанавливается к</w:t>
      </w:r>
      <w:r>
        <w:rPr>
          <w:b w:val="0"/>
          <w:bCs w:val="0"/>
          <w:color w:val="000000" w:themeColor="text1"/>
          <w14:ligatures w14:val="none"/>
        </w:rPr>
        <w:t xml:space="preserve">ак «недропользование», за исключением случаев, запрещённых законом», - прокомментировал он.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В</w:t>
      </w:r>
      <w:r>
        <w:rPr>
          <w:b w:val="0"/>
          <w:bCs w:val="0"/>
          <w:color w:val="000000" w:themeColor="text1"/>
          <w14:ligatures w14:val="none"/>
        </w:rPr>
        <w:t xml:space="preserve">ажнейшее нововведение - возможность отступления от установленного вида разрешённого использования в чрезвычайных ситуациях, а также при обеспечении обороны и безопасности государства. Это исключает необходимость проведения публичных слушаний или согласован</w:t>
      </w:r>
      <w:r>
        <w:rPr>
          <w:b w:val="0"/>
          <w:bCs w:val="0"/>
          <w:color w:val="000000" w:themeColor="text1"/>
          <w14:ligatures w14:val="none"/>
        </w:rPr>
        <w:t xml:space="preserve">ий при размещении режимных объектов - полигонов, стрельбищ и других.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«</w:t>
      </w:r>
      <w:r>
        <w:rPr>
          <w:b w:val="0"/>
          <w:bCs w:val="0"/>
          <w:color w:val="000000" w:themeColor="text1"/>
          <w14:ligatures w14:val="none"/>
        </w:rPr>
        <w:t xml:space="preserve">Особое значение имеют переходные положения для сельхозугодий. До принятия нового базового закона о правовом режиме таких земель регионы получают полномочия изменять их использование только в рамках сельскохозяйственного производства — например, с растениев</w:t>
      </w:r>
      <w:r>
        <w:rPr>
          <w:b w:val="0"/>
          <w:bCs w:val="0"/>
          <w:color w:val="000000" w:themeColor="text1"/>
          <w14:ligatures w14:val="none"/>
        </w:rPr>
        <w:t xml:space="preserve">одства на животноводство. Перевод под жилищное строительство или индивидуальное жилищное строительство запрещён, что обеспечивает сохранение целевого назначения ценных земель», - подытожил он.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Закон вступает в силу с 1 марта 2026 года. Росреестр призывает органы власти субъектов РФ и местного самоуправления начать подготовку к его применению - включая актуализацию нормативных актов, обучение специалистов и информирование заинтересованных лиц.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</w:t>
      </w:r>
      <w:r>
        <w:rPr>
          <w:b w:val="0"/>
          <w:bCs w:val="0"/>
          <w:color w:val="000000" w:themeColor="text1"/>
          <w14:ligatures w14:val="none"/>
        </w:rPr>
        <w:t xml:space="preserve">араллельно ведомство продолжает работу по усилению муниципального земельного контроля, который сегодня фактически не функционирует в большинстве регионов. С использованием современных технологий дистанционного мониторинга будет совершенствоваться выявление</w:t>
      </w:r>
      <w:r>
        <w:rPr>
          <w:b w:val="0"/>
          <w:bCs w:val="0"/>
          <w:color w:val="000000" w:themeColor="text1"/>
          <w14:ligatures w14:val="none"/>
        </w:rPr>
        <w:t xml:space="preserve"> нарушений - самовольного занятия земель, их неиспользования или эксплуатации не по целевому назначению.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На заседании также выступил заместитель министра сельского хозяйства РФ Андрей Разин, отметив, что ведомство в ближайшее время примет приказ, регламентирующий порядок установления границ сельскохозяйственных угодий.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П</w:t>
      </w:r>
      <w:r>
        <w:rPr>
          <w:b w:val="0"/>
          <w:bCs w:val="0"/>
          <w:color w:val="000000" w:themeColor="text1"/>
          <w14:ligatures w14:val="none"/>
        </w:rPr>
        <w:t xml:space="preserve">о его словам, с 1 марта 2026 года Минсельхоз России получит право устанавливать такие границы собственными приказами на основе карт-схем земель сельскохозяйственного назначения. Их подготовка завершается в 2025 году, в том числе на территориях воссоединенн</w:t>
      </w:r>
      <w:r>
        <w:rPr>
          <w:b w:val="0"/>
          <w:bCs w:val="0"/>
          <w:color w:val="000000" w:themeColor="text1"/>
          <w14:ligatures w14:val="none"/>
        </w:rPr>
        <w:t xml:space="preserve">ых субъектов РФ. Сведения о границах будут оперативно вноситься в Единый государственный реестр недвижимости.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  <w:t xml:space="preserve">Также было отмечено, что при рассмотрении вопросов в новых регионах Минсельхоз будет ориентироваться на сохранение пашни и обеспечение продовольственной безопасности.</w:t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  <w:r>
        <w:rPr>
          <w:b/>
          <w:bCs/>
          <w:color w:val="000000" w:themeColor="text1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14:ligatures w14:val="none"/>
        </w:rPr>
        <w:t xml:space="preserve">12. </w:t>
      </w:r>
      <w:r>
        <w:rPr>
          <w:b/>
          <w:bCs/>
          <w:color w:val="000000" w:themeColor="text1"/>
          <w:highlight w:val="none"/>
          <w14:ligatures w14:val="none"/>
        </w:rPr>
        <w:t xml:space="preserve">Вопрос - ответ: из-за чего могут приостановить регистрацию недвижимости и что делать в таких случаях?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Регистрация права собственности подтверждает и гарантирует защиту прав на недвижимость. Однако существуют случаи, при которых Росреестр вынужден приостанавливать регистрацию прав и (или) кадастровый учет.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этом материале мы подробно разберем наиболее частые причины приостановления регистрации прав и (или) кадастрового учета в соответствии с Федеральным законом № 218-ФЗ «О государственной регистрации недвижимости» (ст. 26) и расскажем, что делать в таких слу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чаях.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u w:val="single"/>
          <w14:ligatures w14:val="none"/>
        </w:rPr>
        <w:t xml:space="preserve">1. Заявление подано ненадлежащим лицом</w:t>
      </w:r>
      <w:r>
        <w:rPr>
          <w:color w:val="000000" w:themeColor="text1"/>
          <w:u w:val="single"/>
        </w:rPr>
      </w:r>
      <w:r>
        <w:rPr>
          <w:color w:val="000000" w:themeColor="text1"/>
          <w:u w:val="singl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С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заявлением о государственном кадастровом учёте и регистрации права могут обращаться лица, указанные в статье 15 Закона № 218-ФЗ. Если заявление подаётся представителем заявителя, то доверенность должна быть удостоверена нотариально и содержать чётко сформ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улированные полномочия на совершение конкретных учетно-регистрационных действий.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Важно: перед подачей документов убедитесь, что доверенность содержит все необходимые полномочия и соответствует требованиям законодательства.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u w:val="single"/>
          <w14:ligatures w14:val="none"/>
        </w:rPr>
        <w:t xml:space="preserve">2. Неполный комплект документов</w:t>
      </w:r>
      <w:r>
        <w:rPr>
          <w:color w:val="000000" w:themeColor="text1"/>
          <w:u w:val="single"/>
        </w:rPr>
      </w:r>
      <w:r>
        <w:rPr>
          <w:color w:val="000000" w:themeColor="text1"/>
          <w:u w:val="singl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Для каждого вида учетно-регистрационных действий предусмотрен свой перечень обязательных документов. Их отсутствие - одно из самых распространённых оснований для приостановления.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Н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апример, при продаже комнаты в коммунальной квартире необходимо представить письменные отказы от преимущественного права покупки от собственников иных комнат в такой квартире, а при сделках с участием несовершеннолетних - согласие органов опеки и попечител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ьства.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Для постановки на кадастровый учет обязательно представление межевого (для земельного участка) или технического (для объектов капитального строительства) планов.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Недостающие документы можно донести в течение срока приостановления - лично через МФЦ или с использованием электронных сервисов Росреестра.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u w:val="single"/>
          <w14:ligatures w14:val="none"/>
        </w:rPr>
        <w:t xml:space="preserve">3. Наличие на земельном участке зоны с особыми условиями использования территории (ЗОУИТ)</w:t>
      </w:r>
      <w:r>
        <w:rPr>
          <w:color w:val="000000" w:themeColor="text1"/>
          <w:u w:val="single"/>
        </w:rPr>
      </w:r>
      <w:r>
        <w:rPr>
          <w:color w:val="000000" w:themeColor="text1"/>
          <w:u w:val="singl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Е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сли земельный участок расположен в ЗОУИТ (например, охранная зона линий электропередачи), то для строительства (например, жилого дома) на таком земельном участке требуется получение согласований, подтверждающих, что характеристики возводимого объекта не на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рушают установленных ограничений.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П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оэтому перед началом строительства рекомендуется запросить выписку из ЕГРН на земельный участок, а также воспользоваться сайтом НСПД и сайтом государственной информационной системы обеспечения градостроительной деятельности соответствующего субъекта РФ – д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ля установления всех ограничений, влияющих на проектирование, строительство и реконструкцию объектов недвижимости.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u w:val="single"/>
          <w14:ligatures w14:val="none"/>
        </w:rPr>
        <w:t xml:space="preserve">4. Предоставление документов, не соответствующих требованиям законодательства</w:t>
      </w:r>
      <w:r>
        <w:rPr>
          <w:b w:val="0"/>
          <w:bCs w:val="0"/>
          <w:color w:val="000000" w:themeColor="text1"/>
          <w:u w:val="single"/>
        </w:rPr>
      </w:r>
      <w:r>
        <w:rPr>
          <w:b w:val="0"/>
          <w:bCs w:val="0"/>
          <w:color w:val="000000" w:themeColor="text1"/>
          <w:u w:val="singl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Согласно действующему законодательству, некоторые сделки требуют нотариального удостоверения. В частности, договор дарения недвижимого имущества и договор отчуждения доли в праве общей собственности на недвижимое имущество.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Если такие документы представлены в простой письменной форме и без нотариального заверения, регистрационные действия будут приостановлены.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u w:val="single"/>
          <w14:ligatures w14:val="none"/>
        </w:rPr>
        <w:t xml:space="preserve">5. В Едином государственном реестре недвижимости (ЕГРН) отсутствуют сведения о местоположении границ земельного участка</w:t>
      </w:r>
      <w:r>
        <w:rPr>
          <w:b w:val="0"/>
          <w:bCs w:val="0"/>
          <w:color w:val="000000" w:themeColor="text1"/>
          <w:u w:val="single"/>
        </w:rPr>
      </w:r>
      <w:r>
        <w:rPr>
          <w:b w:val="0"/>
          <w:bCs w:val="0"/>
          <w:color w:val="000000" w:themeColor="text1"/>
          <w:u w:val="singl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С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1 марта 2025 года регистрационные действия в отношении земельного участка не могут быть выполнены, если в Едином государственном реестре недвижимости (ЕГРН) отсутствуют сведения о местоположении его границ. Также нельзя поставить на кадастровый учёт или о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формить права на здание, сооружение или объект незавершенного строительства, расположенные на земельном участке без учтённых границ.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В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 указанном случае необходимо обратиться к кадастровому инженеру для подготовки межевого плана в связи с уточнением местоположения границ земельного участка и представить такой межевой план в Росреестр. После внесения указанных сведений в ЕГРН можно будет в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озобновить приостановленные регистрационные действия.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  <w:t xml:space="preserve">О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тметим, что на устранение оснований приостановления по общему правилу законом отводится три месяца. Если в установленный срок нарушения не устранены, Росреестр принимает решение об отказе в государственной регистрации. При этом уплаченная госпошлина не воз</w:t>
      </w:r>
      <w:r>
        <w:rPr>
          <w:b w:val="0"/>
          <w:bCs w:val="0"/>
          <w:color w:val="000000" w:themeColor="text1"/>
          <w:highlight w:val="none"/>
          <w14:ligatures w14:val="none"/>
        </w:rPr>
        <w:t xml:space="preserve">вращается.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:lang w:eastAsia="ru-RU"/>
        </w:rPr>
        <w:t xml:space="preserve">13. </w:t>
      </w:r>
      <w:r>
        <w:rPr>
          <w:b/>
          <w:bCs/>
          <w:color w:val="000000"/>
          <w:lang w:eastAsia="ru-RU"/>
        </w:rPr>
        <w:t xml:space="preserve">Защита прав – общая цель новосибирского Росреестра и службы судебных приставов.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1 ноября свой профессиональный праздник отмечает Федеральная служба судебных приставов.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Служба судебных приставов стала одним из первых органов государственной власти, с которым новосибирским Росреестром было налажено электронное взаимодействие. Оперативн</w:t>
      </w:r>
      <w:r>
        <w:rPr>
          <w:b w:val="0"/>
          <w:bCs w:val="0"/>
          <w:color w:val="000000"/>
          <w:lang w:eastAsia="ru-RU"/>
        </w:rPr>
        <w:t xml:space="preserve">ое поступление постановлений судебных приставов через систему межведомственного электронного взаимодействия и внесение соответствующих записей в Единый государственный реестр недвижимости способствует защите добросовестных участников гражданского оборота.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Только за истекший период 2025 года Управлением Росреестра по Новосибирской области обработано более 350 тысяч обращений о наложении и снятии запретов на совершение действий по регистрации прав и сделок с недвижимостью, из них 96% обращений поступило в эл</w:t>
      </w:r>
      <w:r>
        <w:rPr>
          <w:b w:val="0"/>
          <w:bCs w:val="0"/>
          <w:color w:val="000000"/>
          <w:lang w:eastAsia="ru-RU"/>
        </w:rPr>
        <w:t xml:space="preserve">ектронном виде от службы судебных приставов в рамках межведомственного информационного взаимодействия. По сравнению с 2024 годом количество таких документов увеличилось в 2,5 раза, что свидетельствует о растущем уровне сотрудничества между государственными</w:t>
      </w:r>
      <w:r>
        <w:rPr>
          <w:b w:val="0"/>
          <w:bCs w:val="0"/>
          <w:color w:val="000000"/>
          <w:lang w:eastAsia="ru-RU"/>
        </w:rPr>
        <w:t xml:space="preserve"> органами.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этом году служба отмечает 160-летие, в честь данного события в Новосибирске состоялось торжественное мероприятие, в котором приняла участие руководитель Управления Росреестра по Новосибирской области</w:t>
      </w:r>
      <w:r>
        <w:rPr>
          <w:b w:val="0"/>
          <w:bCs w:val="0"/>
          <w:color w:val="000000"/>
          <w:lang w:eastAsia="ru-RU"/>
        </w:rPr>
        <w:t xml:space="preserve"> Светлана Рягузова</w:t>
      </w:r>
      <w:r>
        <w:rPr>
          <w:b w:val="0"/>
          <w:bCs w:val="0"/>
          <w:color w:val="000000"/>
          <w:lang w:eastAsia="ru-RU"/>
        </w:rPr>
        <w:t xml:space="preserve">: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«Мы поздравляем коллег с профессиональным праздником! Благодарим за эффективное сотрудничество, профессионализм и принципиальность в деле защиты прав, свобод и законных интересов граждан. Пусть ваша деятельность всегда будет результативной, а личная жизнь </w:t>
      </w:r>
      <w:r>
        <w:rPr>
          <w:b w:val="0"/>
          <w:bCs w:val="0"/>
          <w:color w:val="000000"/>
          <w:lang w:eastAsia="ru-RU"/>
        </w:rPr>
        <w:t xml:space="preserve">- наполнена миром и благополучием»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Управление Росреестра по Новосибирской области напоминает, что проверить информацию об ограничениях прав на недвижимое имущество можно с помощью электронного сервиса «Справочная информация по объектам недвижимости» на официальном </w:t>
      </w:r>
      <w:hyperlink r:id="rId32" w:tooltip="https://rosreestr.gov.ru/press/archive/reg/zashchita-prav-obshchaya-tsel-novosibirskogo-rosreestra-i-sluzhby-sudebnykh-pristavov-11125-54/rosreestr.gov.ru" w:history="1">
        <w:r>
          <w:rPr>
            <w:b w:val="0"/>
            <w:bCs w:val="0"/>
            <w:color w:val="000000"/>
            <w:lang w:eastAsia="ru-RU"/>
          </w:rPr>
          <w:t xml:space="preserve">сайте Росреестра</w:t>
        </w:r>
      </w:hyperlink>
      <w:r>
        <w:rPr>
          <w:b w:val="0"/>
          <w:bCs w:val="0"/>
          <w:color w:val="000000"/>
          <w:lang w:eastAsia="ru-RU"/>
        </w:rPr>
        <w:t xml:space="preserve">. Для этого достаточно указать кадастровый номер объекта или его адрес.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Важные сведения о недвижимости также можно получить, заказав экспресс-выписку из Единого государственного реестра недвижимости на портале Госуслуг.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Информацию о судебном приставе-исп</w:t>
      </w:r>
      <w:r>
        <w:rPr>
          <w:b w:val="0"/>
          <w:bCs w:val="0"/>
          <w:color w:val="000000"/>
          <w:lang w:eastAsia="ru-RU"/>
        </w:rPr>
        <w:t xml:space="preserve">олнителе, вынесшем постановление о запрете, можно узнать на </w:t>
      </w:r>
      <w:hyperlink r:id="rId33" w:tooltip="https://rosreestr.gov.ru/press/archive/reg/zashchita-prav-obshchaya-tsel-novosibirskogo-rosreestra-i-sluzhby-sudebnykh-pristavov-11125-54/fssp.gov.ru" w:history="1">
        <w:r>
          <w:rPr>
            <w:b w:val="0"/>
            <w:bCs w:val="0"/>
            <w:color w:val="000000"/>
            <w:lang w:eastAsia="ru-RU"/>
          </w:rPr>
          <w:t xml:space="preserve">официальном сайте</w:t>
        </w:r>
      </w:hyperlink>
      <w:r>
        <w:rPr>
          <w:b w:val="0"/>
          <w:bCs w:val="0"/>
          <w:color w:val="000000"/>
          <w:lang w:eastAsia="ru-RU"/>
        </w:rPr>
        <w:t xml:space="preserve"> Федеральной службы судебных приставов России. Поиск осуществляется по фамилии имени отчеству и дате рождения должника.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14.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С начала года поступило более 12 тысяч заявлений о запрете регистрации сделок без личного участия.</w:t>
      </w:r>
      <w:r>
        <w:rPr>
          <w:b/>
          <w:bCs/>
          <w:color w:val="000000"/>
          <w:highlight w:val="none"/>
          <w:lang w:eastAsia="ru-RU"/>
          <w14:ligatures w14:val="none"/>
        </w:rPr>
      </w:r>
      <w:r>
        <w:rPr>
          <w:b/>
          <w:bCs/>
          <w:color w:val="000000"/>
          <w:highlight w:val="none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Новосибирской области на треть увеличилось количество обращений в Росресстр о запрете регистрации сделок без личного участия собственника.</w:t>
        <w:br/>
        <w:t xml:space="preserve">С начала года в новосибирский Росреестр поступило 12 858 заявлений, что на 32% больше, чем за весь 2024 год.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Заявл</w:t>
      </w:r>
      <w:r>
        <w:rPr>
          <w:b w:val="0"/>
          <w:bCs w:val="0"/>
          <w:color w:val="000000"/>
          <w:lang w:eastAsia="ru-RU"/>
        </w:rPr>
        <w:t xml:space="preserve">ение о запрете регистрации сделок без личного участия может подать правообладатель или его законный представитель посредством официального сайта </w:t>
      </w:r>
      <w:hyperlink r:id="rId34" w:tooltip="https://rosreestr.gov.ru/eservices/services/tickets/" w:history="1">
        <w:r>
          <w:rPr>
            <w:b w:val="0"/>
            <w:bCs w:val="0"/>
            <w:color w:val="000000"/>
            <w:lang w:eastAsia="ru-RU"/>
          </w:rPr>
          <w:t xml:space="preserve">Росреестра</w:t>
        </w:r>
      </w:hyperlink>
      <w:r>
        <w:rPr>
          <w:b w:val="0"/>
          <w:bCs w:val="0"/>
          <w:color w:val="000000"/>
          <w:lang w:eastAsia="ru-RU"/>
        </w:rPr>
        <w:t xml:space="preserve">, через личный кабинет на </w:t>
      </w:r>
      <w:hyperlink r:id="rId35" w:tooltip="https://www.gosuslugi.ru/" w:history="1">
        <w:r>
          <w:rPr>
            <w:b w:val="0"/>
            <w:bCs w:val="0"/>
            <w:color w:val="000000"/>
            <w:lang w:eastAsia="ru-RU"/>
          </w:rPr>
          <w:t xml:space="preserve">портале</w:t>
        </w:r>
        <w:r>
          <w:rPr>
            <w:b w:val="0"/>
            <w:bCs w:val="0"/>
            <w:color w:val="000000"/>
            <w:lang w:eastAsia="ru-RU"/>
          </w:rPr>
          <w:t xml:space="preserve"> </w:t>
        </w:r>
      </w:hyperlink>
      <w:r>
        <w:rPr>
          <w:b w:val="0"/>
          <w:bCs w:val="0"/>
          <w:color w:val="000000"/>
          <w:lang w:eastAsia="ru-RU"/>
        </w:rPr>
      </w:r>
      <w:hyperlink r:id="rId36" w:tooltip="https://www.gosuslugi.ru/" w:history="1">
        <w:r>
          <w:rPr>
            <w:b w:val="0"/>
            <w:bCs w:val="0"/>
            <w:color w:val="000000"/>
            <w:lang w:eastAsia="ru-RU"/>
          </w:rPr>
          <w:t xml:space="preserve">Госуслуг</w:t>
        </w:r>
      </w:hyperlink>
      <w:r>
        <w:rPr>
          <w:b w:val="0"/>
          <w:bCs w:val="0"/>
          <w:color w:val="000000"/>
          <w:lang w:eastAsia="ru-RU"/>
        </w:rPr>
        <w:t xml:space="preserve"> или при личном обращении в МФЦ. Услуга предоставляется бесплатно, сведения вносятся в Единый государственный реестр недвижимости в течение 5 рабочих дней с момента поступления заявления.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«Услуга продолжает показывать свою востребованность как один из надежных способов в борьбе с мошенническими действиями. Рост количества заявлений свидетельствует о том, что всё больше граждан предпринимают меры для защиты своей собственности»</w:t>
      </w:r>
      <w:r>
        <w:rPr>
          <w:b w:val="0"/>
          <w:bCs w:val="0"/>
          <w:color w:val="000000"/>
          <w:lang w:eastAsia="ru-RU"/>
        </w:rPr>
        <w:t xml:space="preserve">, - отметила руководитель новосибирского Росреестра </w:t>
      </w:r>
      <w:r>
        <w:rPr>
          <w:b w:val="0"/>
          <w:bCs w:val="0"/>
          <w:color w:val="000000"/>
          <w:lang w:eastAsia="ru-RU"/>
        </w:rPr>
        <w:t xml:space="preserve">Светлана Рягузова</w:t>
      </w:r>
      <w:r>
        <w:rPr>
          <w:b w:val="0"/>
          <w:bCs w:val="0"/>
          <w:color w:val="000000"/>
          <w:lang w:eastAsia="ru-RU"/>
        </w:rPr>
        <w:t xml:space="preserve">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15. </w:t>
      </w:r>
      <w:r>
        <w:rPr>
          <w:b/>
          <w:bCs/>
          <w:color w:val="000000"/>
          <w:lang w:eastAsia="ru-RU"/>
        </w:rPr>
        <w:t xml:space="preserve">На вопросы об оформлении и использовании земельных участков ответили специалисты новосибирского Росреестра.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 номера «горячих» линий Управления Росреестра по Новосибирской области поступило более 10 звонков, специалисты ответили на вопросы жителей Новосибирской области.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Публикуем ответы на поступившие в ходе телефонной линии вопросы новосибирцев.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Если будет установлено, что земельный участок заброшен, в какой срок его будут изымать?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Изъятие неосвоенного земельного участка является крайней мерой. Даже при нарушении установленного трехлетнего срока на освоение землю не изымут автоматически.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случае если при осуществлении государственного земельного контроля (надзора) государственным и</w:t>
      </w:r>
      <w:r>
        <w:rPr>
          <w:b w:val="0"/>
          <w:bCs w:val="0"/>
          <w:color w:val="000000"/>
          <w:lang w:eastAsia="ru-RU"/>
        </w:rPr>
        <w:t xml:space="preserve">нспектором Управления Росреестра будет установлено неиспользование земельного участка по окончанию срока его освоения.Поступившие собственнику будет вынесено предписание об устранении нарушения с указанием определенного срока. При наличии уважительных прич</w:t>
      </w:r>
      <w:r>
        <w:rPr>
          <w:b w:val="0"/>
          <w:bCs w:val="0"/>
          <w:color w:val="000000"/>
          <w:lang w:eastAsia="ru-RU"/>
        </w:rPr>
        <w:t xml:space="preserve">ин срок для устранения нарушения, установленный предписанием, можно будет продлить.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Если же собственник будет игнорировать предписание, не исправит ситуацию в установленный в срок, то Управление Росреестра уведомит об этом уполномоченный орган государстве</w:t>
      </w:r>
      <w:r>
        <w:rPr>
          <w:b w:val="0"/>
          <w:bCs w:val="0"/>
          <w:color w:val="000000"/>
          <w:lang w:eastAsia="ru-RU"/>
        </w:rPr>
        <w:t xml:space="preserve">нной власти или местного самоуправления. Далее эти органы могут обратиться в суд с требованием об изъятии земельных участков в связи с их ненадлежащим использованием и об их продаже с публичных торгов.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Главной целью при проведении федерального надзора явл</w:t>
      </w:r>
      <w:r>
        <w:rPr>
          <w:b w:val="0"/>
          <w:bCs w:val="0"/>
          <w:color w:val="000000"/>
          <w:lang w:eastAsia="ru-RU"/>
        </w:rPr>
        <w:t xml:space="preserve">яется не изъятие земельного участка, а стимулирование землевладельцев и землепользователей осваивать и использовать принадлежащие им земельные участки или продавать их, если они им не нужны.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Необходимо ли проводить кадастровые работы по уточнению границ земельного участка перед его отчуждением, а так же перед внесением изменений в сведения Единого государственного реестра недвижимости относительно вида разрешенного использования участка?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Напоминаем, что с марта 2025 года запрещено совершать сделки с земельными участками, в отношении которых границы не установлены и сведения о них отсутствуют в Едином государственном реестре недвижимости. Так же обращаем внимание, что изменить вид разрешенн</w:t>
      </w:r>
      <w:r>
        <w:rPr>
          <w:b w:val="0"/>
          <w:bCs w:val="0"/>
          <w:color w:val="000000"/>
          <w:lang w:eastAsia="ru-RU"/>
        </w:rPr>
        <w:t xml:space="preserve">ого использования земельного участка возможно только после уточнения границ земельного участка.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Информацию о границах земельного участка  можно найти на публичной кадастровой карте Росреестра, которая расположена на Единой цифровой платформе </w:t>
      </w:r>
      <w:hyperlink r:id="rId37" w:tooltip="https://nspd.gov.ru/map" w:history="1">
        <w:r>
          <w:rPr>
            <w:b w:val="0"/>
            <w:bCs w:val="0"/>
            <w:color w:val="000000"/>
            <w:lang w:eastAsia="ru-RU"/>
          </w:rPr>
          <w:t xml:space="preserve">«Национальная система пространственных данных»</w:t>
        </w:r>
      </w:hyperlink>
      <w:r>
        <w:rPr>
          <w:b w:val="0"/>
          <w:bCs w:val="0"/>
          <w:color w:val="000000"/>
          <w:lang w:eastAsia="ru-RU"/>
        </w:rPr>
        <w:t xml:space="preserve"> или в выписке из Единого государственного реестра недвижимости, которую легко получить через портал Госуслуг или в МФЦ. Чтобы узнать, определены ли границы земельного участка необходимо ввести  в поисковом окне на Публичной кадастровой карте кадастровый н</w:t>
      </w:r>
      <w:r>
        <w:rPr>
          <w:b w:val="0"/>
          <w:bCs w:val="0"/>
          <w:color w:val="000000"/>
          <w:lang w:eastAsia="ru-RU"/>
        </w:rPr>
        <w:t xml:space="preserve">омер земельного участка. Если на карте  графическое отображение границ земельного участка не отображается, то требуется проведение кадастровых работ по уточнению местоположения  границ земельного участка. Для этого необходимо обратиться к кадастровому инже</w:t>
      </w:r>
      <w:r>
        <w:rPr>
          <w:b w:val="0"/>
          <w:bCs w:val="0"/>
          <w:color w:val="000000"/>
          <w:lang w:eastAsia="ru-RU"/>
        </w:rPr>
        <w:t xml:space="preserve">неру. Кадастровый инженер проведёт необходимые замеры, подготовит межевой план и согласует границы с соседями.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16.</w:t>
      </w:r>
      <w:r>
        <w:rPr>
          <w:b/>
          <w:bCs/>
          <w:color w:val="000000"/>
          <w:lang w:eastAsia="ru-RU"/>
        </w:rPr>
        <w:t xml:space="preserve"> </w:t>
      </w:r>
      <w:r>
        <w:rPr>
          <w:b/>
          <w:bCs/>
          <w:color w:val="000000"/>
          <w:lang w:eastAsia="ru-RU"/>
        </w:rPr>
        <w:t xml:space="preserve">Росреестр актуализировал алгоритм действий инвестора при оформлении права собственности.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Управление Росреестра по Новосибирской области участвует в мероприятиях, направленных на привлечение в регион новых инвесторов. Это внутренний мониторинг технологических процессов, влияющих на сроки и качество оформление недвижимости, анализ мнения инвесто</w:t>
      </w:r>
      <w:r>
        <w:rPr>
          <w:b w:val="0"/>
          <w:bCs w:val="0"/>
          <w:color w:val="000000"/>
          <w:lang w:eastAsia="ru-RU"/>
        </w:rPr>
        <w:t xml:space="preserve">ров, получивших услугу ведомства.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октябре 2025 года актуализирован алгоритм действий инвестора при оформлении права собственности на вновь созданный объект недвижимости. Выявлены «болевые точки». Таковыми оказались ошибки инвестора при подаче документов</w:t>
      </w:r>
      <w:r>
        <w:rPr>
          <w:b w:val="0"/>
          <w:bCs w:val="0"/>
          <w:color w:val="000000"/>
          <w:lang w:eastAsia="ru-RU"/>
        </w:rPr>
        <w:t xml:space="preserve"> либо в силу незнания требований закона, либо неверное использование электронных сервисов.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«Цифровизация государственных услуг Росреестра обеспечила рассмотрение документов любого заявителя, в том числе и инвестора, в минимальный срок: если документы соот</w:t>
      </w:r>
      <w:r>
        <w:rPr>
          <w:b w:val="0"/>
          <w:bCs w:val="0"/>
          <w:color w:val="000000"/>
          <w:lang w:eastAsia="ru-RU"/>
        </w:rPr>
        <w:t xml:space="preserve">ветствуют требованиям действующего законодательства, решение принимается в течение одного рабочего дня. Это подтверждает ежедневная общероссийская статистика ведомства: сегодня средний срок рассмотрения документов в регионе составляет полтора рабочих дня. </w:t>
      </w:r>
      <w:r>
        <w:rPr>
          <w:b w:val="0"/>
          <w:bCs w:val="0"/>
          <w:color w:val="000000"/>
          <w:lang w:eastAsia="ru-RU"/>
        </w:rPr>
        <w:t xml:space="preserve">Региональный инвестиционный стандарт обеспечил скорость, открытость и прозрачность регистрационного процесса. Для информирования заявителей о подаче документов работает «Школа электронных услуг»: государственные регистраторы прав разъясняют требования зако</w:t>
      </w:r>
      <w:r>
        <w:rPr>
          <w:b w:val="0"/>
          <w:bCs w:val="0"/>
          <w:color w:val="000000"/>
          <w:lang w:eastAsia="ru-RU"/>
        </w:rPr>
        <w:t xml:space="preserve">на и в ручном режиме сопровождают подачу документов», – сообщила руководитель новосибирского Росреестра Светлана Рягузова.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В план мероприятий по обеспечению инвестиционной привлекательности региона до 2030 года и внедрению Регионального инвестиционного ст</w:t>
      </w:r>
      <w:r>
        <w:rPr>
          <w:b w:val="0"/>
          <w:bCs w:val="0"/>
          <w:color w:val="000000"/>
          <w:lang w:eastAsia="ru-RU"/>
        </w:rPr>
        <w:t xml:space="preserve">андарта включен мониторинг информирования бизнеса о работе органов власти всех уровней, о платформе обратной связи для бизнеса («ПОС – для бизнеса»).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И.о. министра экономического развития Новосибирской области Светлана Шарпф сообщила, что работа по выявле</w:t>
      </w:r>
      <w:r>
        <w:rPr>
          <w:b w:val="0"/>
          <w:bCs w:val="0"/>
          <w:color w:val="000000"/>
          <w:lang w:eastAsia="ru-RU"/>
        </w:rPr>
        <w:t xml:space="preserve">нию административных барьеров для инвесторов продолжается. К примеру, специалисты новосибирского Росреестра также приняли участие в картировании процессов выдачи разрешений на строительство и принятия объектов недвижимости в эксплуатацию. «Процессы изучены</w:t>
      </w:r>
      <w:r>
        <w:rPr>
          <w:b w:val="0"/>
          <w:bCs w:val="0"/>
          <w:color w:val="000000"/>
          <w:lang w:eastAsia="ru-RU"/>
        </w:rPr>
        <w:t xml:space="preserve"> изнутри совместно с органами местного самоуправления и бизнесом. Картирование алгоритмов действий инвестора нацелено на выявление административных барьеров и их исключение в работе ведомств всех уровней. Это обязательный этап внедрения Регионального инвес</w:t>
      </w:r>
      <w:r>
        <w:rPr>
          <w:b w:val="0"/>
          <w:bCs w:val="0"/>
          <w:color w:val="000000"/>
          <w:lang w:eastAsia="ru-RU"/>
        </w:rPr>
        <w:t xml:space="preserve">тиционного стандарта. Итоги картирования действий инвестора будут подведены в ноябре 2025 на заседании рабочей группы Правительства Новосибирской области. Вместе с предпринимательским сообществом обсудим первые итоги реализации обновленной дорожной карты п</w:t>
      </w:r>
      <w:r>
        <w:rPr>
          <w:b w:val="0"/>
          <w:bCs w:val="0"/>
          <w:color w:val="000000"/>
          <w:lang w:eastAsia="ru-RU"/>
        </w:rPr>
        <w:t xml:space="preserve">о инвестиционному климату, поставим новые задачи», – отметила Светлана Шарпф.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Напомним, региональный инвестиционный стандарт реализуется в рамках системы поддержки новых инвестиционных проектов в субъектах Российской Федерации, внедрен в Новосибирской обл</w:t>
      </w:r>
      <w:r>
        <w:rPr>
          <w:b w:val="0"/>
          <w:bCs w:val="0"/>
          <w:color w:val="000000"/>
          <w:lang w:eastAsia="ru-RU"/>
        </w:rPr>
        <w:t xml:space="preserve">асти в 2022 году.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Запись в «Школу электронных услуг» новосибирского Росреестра: 8 (383) 252-09-86.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17. </w:t>
      </w:r>
      <w:r>
        <w:rPr>
          <w:b/>
          <w:bCs/>
          <w:color w:val="000000"/>
          <w:lang w:eastAsia="ru-RU"/>
        </w:rPr>
        <w:t xml:space="preserve">В новосибирском Росреестре прошла «горячая» телефонная линия.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«Горячая» телефонная линия была посвящена вопросам оформления недвижимости, приобретенной с использованием материнского (семейного) капитала.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Публикуем ответы на поступившие вопросы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Если имущество, принадлежащее родителям и несовершеннолетним детям, реализуется с торгов?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Сделки по отчуждению недвижимого имущества, в том числе принадлежащего несовершеннолетним детям, совершаются с предварительного разрешения органа опеки и попечительства.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Случаи, когда имущество, оформленное в долевую собственность семьи с детьми, реализует</w:t>
      </w:r>
      <w:r>
        <w:rPr>
          <w:b w:val="0"/>
          <w:bCs w:val="0"/>
          <w:color w:val="000000"/>
          <w:lang w:eastAsia="ru-RU"/>
        </w:rPr>
        <w:t xml:space="preserve">ся с торгов при банкротстве родителей, не являются исключением и требуют наличия соответствующего разрешения на отчуждение доли ребенка. Кроме этого такая сделка подлежит обязательному нотариальному удостоверению. Несоблюдение нотариальной формы влечет нед</w:t>
      </w:r>
      <w:r>
        <w:rPr>
          <w:b w:val="0"/>
          <w:bCs w:val="0"/>
          <w:color w:val="000000"/>
          <w:lang w:eastAsia="ru-RU"/>
        </w:rPr>
        <w:t xml:space="preserve">ействительность сделки.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С какого возраста несовершеннолетний ребенок участвует в сделках по приобретению недвижимого имущества?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Ребенок 14-17 лет (включительно) участвует в сделках с недвижимостью самостоятельно с согласия законного представителя, то есть сам подписывает заявление и договор. Плательщиком государственной пошлины за регистрацию недвижимости может выступать как сам не</w:t>
      </w:r>
      <w:r>
        <w:rPr>
          <w:b w:val="0"/>
          <w:bCs w:val="0"/>
          <w:color w:val="000000"/>
          <w:lang w:eastAsia="ru-RU"/>
        </w:rPr>
        <w:t xml:space="preserve">совершеннолетний, так и его законный представитель.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Если ребенок не достиг 14 лет, все юридически значимые действия за него совершают родители, усыновители или опекуны, в том числе являются плательщиком государственной пошлины.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Можно ли выделить доли в жилом помещении, если ипотека еще не погашена?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Долю выделить можно.</w:t>
      </w:r>
      <w:r>
        <w:rPr>
          <w:b w:val="0"/>
          <w:bCs w:val="0"/>
          <w:color w:val="000000"/>
          <w:lang w:eastAsia="ru-RU"/>
        </w:rPr>
        <w:t xml:space="preserve"> Для этого составляется соглашение об определении долей, в котором указывается наличие обременения на объекте в виде ипотеки. При этом документ, выражающий согласие банка на выделение долей членам семьи владельца сертификата, не требуется. Ранее такой доку</w:t>
      </w:r>
      <w:r>
        <w:rPr>
          <w:b w:val="0"/>
          <w:bCs w:val="0"/>
          <w:color w:val="000000"/>
          <w:lang w:eastAsia="ru-RU"/>
        </w:rPr>
        <w:t xml:space="preserve">мент нужно было представить на государственную регистрацию вместе с соглашением. Нововведения, позволяющие минимизировать пакет документов для оформления жилья в долевую собственность семьи с детьми, вступили в силу 07.07.2025. 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lang w:eastAsia="ru-RU"/>
        </w:rPr>
        <w:t xml:space="preserve">18. </w:t>
      </w:r>
      <w:r>
        <w:rPr>
          <w:b/>
          <w:bCs/>
          <w:color w:val="000000"/>
          <w:lang w:eastAsia="ru-RU"/>
        </w:rPr>
        <w:t xml:space="preserve">Как юридическому лицу правильно подать электронное обращение.</w:t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Наряду с гражданами, юридические лица имеют право обратится в новосибирский Росреестр с вопросом, предложением, заявлением, в том числе и в электронной форме.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Как направить электронное обращение?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Обращение в форме электронного документа направляется с помощью сервиса </w:t>
      </w:r>
      <w:hyperlink r:id="rId38" w:tooltip="https://rosreestr.gov.ru/feedback/poryadok-rassmotreniya/obrashchenie-grazhdan-v-upravlenie-rosreestra-po-novosibirskoy-oblasti/sposoby-napravleniya-obrashcheniy-54/" w:history="1">
        <w:r>
          <w:rPr>
            <w:b w:val="0"/>
            <w:bCs w:val="0"/>
            <w:color w:val="000000"/>
            <w:lang w:eastAsia="ru-RU"/>
          </w:rPr>
          <w:t xml:space="preserve">«Отправить обращение»</w:t>
        </w:r>
      </w:hyperlink>
      <w:r>
        <w:rPr>
          <w:b w:val="0"/>
          <w:bCs w:val="0"/>
          <w:color w:val="000000"/>
          <w:lang w:eastAsia="ru-RU"/>
        </w:rPr>
        <w:t xml:space="preserve"> на официальном сайте Росреестра.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Подача электронных обращений регулируется поправками к Федеральному закону № 59-ФЗ «О порядке рассмотрения обращений граждан Российской Федерации» и возможна только с использованием систем, обеспечивающих идентификацию и (</w:t>
      </w:r>
      <w:r>
        <w:rPr>
          <w:b w:val="0"/>
          <w:bCs w:val="0"/>
          <w:color w:val="000000"/>
          <w:lang w:eastAsia="ru-RU"/>
        </w:rPr>
        <w:t xml:space="preserve">или) аутентификацию граждан.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Заявитель может авторизоваться на </w:t>
      </w:r>
      <w:hyperlink r:id="rId39" w:tooltip="https://www.gosuslugi.ru/" w:history="1">
        <w:r>
          <w:rPr>
            <w:b w:val="0"/>
            <w:bCs w:val="0"/>
            <w:color w:val="000000"/>
            <w:lang w:eastAsia="ru-RU"/>
          </w:rPr>
          <w:t xml:space="preserve">портале Госуслуг</w:t>
        </w:r>
      </w:hyperlink>
      <w:r>
        <w:rPr>
          <w:b w:val="0"/>
          <w:bCs w:val="0"/>
          <w:color w:val="000000"/>
          <w:lang w:eastAsia="ru-RU"/>
        </w:rPr>
        <w:t xml:space="preserve">: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как представитель юридического лица, уполномоченный действовать от его имени без доверенности,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как физическое лицо – представитель юридического лица, действующий на основании доверенности. В этом случае к обращению прикрепляется доверенность.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Обращения, </w:t>
      </w:r>
      <w:r>
        <w:rPr>
          <w:b w:val="0"/>
          <w:bCs w:val="0"/>
          <w:color w:val="000000"/>
          <w:lang w:eastAsia="ru-RU"/>
        </w:rPr>
        <w:t xml:space="preserve">направленные на адрес электронной почты, не рассматриваются.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</w:rPr>
        <w:t xml:space="preserve">Что необходимо указать в обращении: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firstLine="0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наименование организации с указанием формы собственности,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firstLine="0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фамилию и инициалы лица, подписавшего обращение,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firstLine="0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адрес электронной почты, куда должен быть направлен ответ,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firstLine="0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краткое содержание/суть вопроса,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ind w:left="0" w:firstLine="0"/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  <w:t xml:space="preserve">можно приложить электронные образы официального письма организации, подтверждающих документов и материалов (при необходимости). </w:t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highlight w:val="none"/>
          <w:lang w:eastAsia="ru-RU"/>
        </w:rPr>
        <w:t xml:space="preserve">19. </w:t>
      </w:r>
      <w:r>
        <w:rPr>
          <w:b/>
          <w:bCs/>
          <w:color w:val="000000"/>
          <w:highlight w:val="none"/>
          <w:lang w:eastAsia="ru-RU"/>
        </w:rPr>
        <w:t xml:space="preserve">Как вернуть государственную пошлину</w:t>
      </w:r>
      <w:r>
        <w:rPr>
          <w:b/>
          <w:bCs/>
          <w:color w:val="000000"/>
          <w:highlight w:val="none"/>
          <w:lang w:eastAsia="ru-RU"/>
        </w:rPr>
        <w:t xml:space="preserve">.</w:t>
      </w:r>
      <w:r>
        <w:rPr>
          <w:b/>
          <w:bCs/>
          <w:color w:val="000000"/>
          <w:highlight w:val="none"/>
          <w14:ligatures w14:val="none"/>
        </w:rPr>
      </w:r>
      <w:r>
        <w:rPr>
          <w:b/>
          <w:bCs/>
          <w:color w:val="000000"/>
          <w:highlight w:val="none"/>
          <w14:ligatures w14:val="none"/>
        </w:rPr>
      </w:r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За государственную регистрацию прав взимается государственная пошлина в соответствии с Налоговым кодексом Российской Федерации.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Возникают ситуации, когда государственная пошлина оплачена в большем размере или у заявителя есть льготы по ее уплате.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Вернуть государственную пошлину можно в полном объёме или частично. В полном объёме государственная пошлина возвращается, если заявитель не подавал документы в Росреестр, а также если принято решение о возврате представленных документов без рассмотрения.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Половина от уплаченной суммы возвращается, если принято решение о прекращении учетно-регистрационных действий. При вынесении отказа в государственной регистрации, вернуть государственную пошлину не получится.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Для возврата излишне оплаченной государственной пошлины необходимо подать заявление: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- в офисах Управления Росреестра по Новосибирской области,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-  по почте на адрес 630091, г. Новосибирск, ул. Державина, д. 28,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- через «Личный кабинет» официального сайта Росреестра в сети Интернет. Заявление, поданное в электронном виде, должно быть подписано усиленной квалифицированной электронной подписью.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К заявлению прилагаются платежные документы.</w:t>
      </w:r>
      <w:r/>
    </w:p>
    <w:p>
      <w:pPr>
        <w:spacing w:line="240" w:lineRule="auto"/>
        <w:rPr>
          <w:b w:val="0"/>
          <w:bCs w:val="0"/>
          <w:color w:val="000000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З</w:t>
      </w:r>
      <w:r>
        <w:rPr>
          <w:b w:val="0"/>
          <w:bCs w:val="0"/>
          <w:color w:val="000000"/>
          <w:highlight w:val="none"/>
          <w:lang w:eastAsia="ru-RU"/>
        </w:rPr>
        <w:t xml:space="preserve">аявление о возврате госпошлины можно подать в течение трёх лет со дня её уплаты. Возврат производится в течение одного месяца со дня подачи заявления. Если в возврате средств откажут, то на адрес, указанный в заявлении, поступит соответствующее уведомление</w:t>
      </w:r>
      <w:r>
        <w:rPr>
          <w:b w:val="0"/>
          <w:bCs w:val="0"/>
          <w:color w:val="000000"/>
          <w:highlight w:val="none"/>
          <w:lang w:eastAsia="ru-RU"/>
        </w:rPr>
        <w:t xml:space="preserve">.</w:t>
      </w:r>
      <w:r>
        <w:rPr>
          <w:b w:val="0"/>
          <w:bCs w:val="0"/>
          <w:color w:val="000000"/>
          <w:highlight w:val="none"/>
          <w:lang w:eastAsia="ru-RU"/>
        </w:rPr>
      </w:r>
      <w:r>
        <w:rPr>
          <w:b w:val="0"/>
          <w:bCs w:val="0"/>
          <w:color w:val="000000"/>
          <w:highlight w:val="none"/>
          <w:lang w:eastAsia="ru-RU"/>
        </w:rPr>
      </w:r>
    </w:p>
    <w:p>
      <w:pPr>
        <w:spacing w:line="240" w:lineRule="auto"/>
        <w:rPr>
          <w:b w:val="0"/>
          <w:bCs w:val="0"/>
          <w:color w:val="000000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</w:r>
      <w:r>
        <w:rPr>
          <w:b w:val="0"/>
          <w:bCs w:val="0"/>
          <w:color w:val="000000"/>
          <w:highlight w:val="none"/>
          <w:lang w:eastAsia="ru-RU"/>
        </w:rPr>
      </w:r>
      <w:r>
        <w:rPr>
          <w:b w:val="0"/>
          <w:bCs w:val="0"/>
          <w:color w:val="000000"/>
          <w:highlight w:val="none"/>
          <w:lang w:eastAsia="ru-RU"/>
        </w:rPr>
      </w:r>
    </w:p>
    <w:p>
      <w:pPr>
        <w:spacing w:line="240" w:lineRule="auto"/>
        <w:rPr>
          <w:b/>
          <w:bCs/>
          <w:color w:val="000000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/>
          <w:highlight w:val="none"/>
          <w:lang w:eastAsia="ru-RU"/>
        </w:rPr>
        <w:t xml:space="preserve">20. </w:t>
      </w:r>
      <w:r>
        <w:rPr>
          <w:b/>
          <w:bCs/>
          <w:color w:val="000000"/>
          <w:highlight w:val="none"/>
          <w:lang w:eastAsia="ru-RU"/>
        </w:rPr>
        <w:t xml:space="preserve">Представители новосибирского Росреестра приняли участие в конференции для риелторов</w:t>
      </w:r>
      <w:r>
        <w:rPr>
          <w:b/>
          <w:bCs/>
          <w:color w:val="000000"/>
          <w:highlight w:val="none"/>
          <w:lang w:eastAsia="ru-RU"/>
        </w:rPr>
        <w:t xml:space="preserve">.</w:t>
      </w:r>
      <w:r>
        <w:rPr>
          <w:b/>
          <w:bCs/>
          <w:color w:val="000000"/>
          <w:highlight w:val="none"/>
          <w:lang w:eastAsia="ru-RU"/>
        </w:rPr>
      </w:r>
      <w:r>
        <w:rPr>
          <w:b/>
          <w:bCs/>
          <w:color w:val="000000"/>
          <w:highlight w:val="none"/>
          <w:lang w:eastAsia="ru-RU"/>
        </w:rPr>
      </w:r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З</w:t>
      </w:r>
      <w:r>
        <w:rPr>
          <w:b w:val="0"/>
          <w:bCs w:val="0"/>
          <w:color w:val="000000"/>
          <w:highlight w:val="none"/>
          <w:lang w:eastAsia="ru-RU"/>
        </w:rPr>
        <w:t xml:space="preserve">аместитель руководителя Управления Росреестра по Новосибирской области Наталья Ивчатова приняла участие в работе Большой конференции по недвижимости «Путь к успеху», организованной саморегулируемой организацией «Национальное объединение агентств недвижимос</w:t>
      </w:r>
      <w:r>
        <w:rPr>
          <w:b w:val="0"/>
          <w:bCs w:val="0"/>
          <w:color w:val="000000"/>
          <w:highlight w:val="none"/>
          <w:lang w:eastAsia="ru-RU"/>
        </w:rPr>
        <w:t xml:space="preserve">ти» 11 ноября 2025 года в Новосибирске для участников рынка недвижимости - от начинающих специалистов до опытных лидеров отрасли.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В рамках программы конференции риелторы, девелоперы, представители кредитных организаций – всего более 300 участников - рассмотрели динамику рынка недвижимости, обсудили актуальные тенденции 2026 года, обменялись практическими знаниями и проектами.</w:t>
      </w:r>
      <w:r/>
    </w:p>
    <w:p>
      <w:pPr>
        <w:spacing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В</w:t>
      </w:r>
      <w:r>
        <w:rPr>
          <w:b w:val="0"/>
          <w:bCs w:val="0"/>
          <w:color w:val="000000"/>
          <w:highlight w:val="none"/>
          <w:lang w:eastAsia="ru-RU"/>
        </w:rPr>
        <w:t xml:space="preserve">опросы, озвученные в ходе выступления Натальи Ивчатовой, вызвали особый интерес у участников. Наталья Сергеевна продемонстрировала динамику первичного и вторичного рынка недвижимости Новосибирской области за последние пять лет на основе статистических данн</w:t>
      </w:r>
      <w:r>
        <w:rPr>
          <w:b w:val="0"/>
          <w:bCs w:val="0"/>
          <w:color w:val="000000"/>
          <w:highlight w:val="none"/>
          <w:lang w:eastAsia="ru-RU"/>
        </w:rPr>
        <w:t xml:space="preserve">ы</w:t>
      </w:r>
      <w:r>
        <w:rPr>
          <w:b w:val="0"/>
          <w:bCs w:val="0"/>
          <w:color w:val="000000"/>
          <w:highlight w:val="none"/>
          <w:lang w:eastAsia="ru-RU"/>
        </w:rPr>
        <w:t xml:space="preserve">х по регистрации сделок. Она отметила значительный рост числа пользователей электронных услуг Росреестра на территории региона – только за последние два года их доля выросла на 15% и составила 61%. При этом доля электронных ипотек превышает уже 80%, а доля</w:t>
      </w:r>
      <w:r>
        <w:rPr>
          <w:b w:val="0"/>
          <w:bCs w:val="0"/>
          <w:color w:val="000000"/>
          <w:highlight w:val="none"/>
          <w:lang w:eastAsia="ru-RU"/>
        </w:rPr>
        <w:t xml:space="preserve"> онлайн-регистраций сделок на первичном рынке жилья достигла почти 100%.</w:t>
      </w:r>
      <w:r/>
    </w:p>
    <w:p>
      <w:pPr>
        <w:spacing w:line="240" w:lineRule="auto"/>
        <w:rPr>
          <w:b w:val="0"/>
          <w:bCs w:val="0"/>
          <w:color w:val="000000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highlight w:val="none"/>
          <w:lang w:eastAsia="ru-RU"/>
        </w:rPr>
        <w:t xml:space="preserve">Н</w:t>
      </w:r>
      <w:r>
        <w:rPr>
          <w:b w:val="0"/>
          <w:bCs w:val="0"/>
          <w:color w:val="000000"/>
          <w:highlight w:val="none"/>
          <w:lang w:eastAsia="ru-RU"/>
        </w:rPr>
        <w:t xml:space="preserve">аталья Сергеевна также рассказала о видах мошенничества в сфере недвижимости и о современных способах защиты от него, продемонстрировала методичку по данному вопросу, специально разработанную Росреестром для граждан, и призвала использовать данные материал</w:t>
      </w:r>
      <w:r>
        <w:rPr>
          <w:b w:val="0"/>
          <w:bCs w:val="0"/>
          <w:color w:val="000000"/>
          <w:highlight w:val="none"/>
          <w:lang w:eastAsia="ru-RU"/>
        </w:rPr>
        <w:t xml:space="preserve">ы при оказании услуг гражданам. </w:t>
      </w:r>
      <w:r>
        <w:rPr>
          <w:b w:val="0"/>
          <w:bCs w:val="0"/>
          <w:color w:val="000000"/>
          <w:highlight w:val="none"/>
          <w:lang w:eastAsia="ru-RU"/>
        </w:rPr>
      </w:r>
      <w:r>
        <w:rPr>
          <w:b w:val="0"/>
          <w:bCs w:val="0"/>
          <w:color w:val="000000"/>
          <w:highlight w:val="none"/>
          <w:lang w:eastAsia="ru-RU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:lang w:eastAsia="ru-RU"/>
        </w:rPr>
        <w:t xml:space="preserve">21.</w:t>
      </w:r>
      <w:r>
        <w:rPr>
          <w:b/>
          <w:bCs/>
          <w:color w:val="000000" w:themeColor="text1"/>
          <w:highlight w:val="none"/>
          <w:lang w:eastAsia="ru-RU"/>
        </w:rPr>
        <w:t xml:space="preserve"> Земельные участки в СНТ: обучение от новосибирского Росреестра</w:t>
      </w:r>
      <w:r>
        <w:rPr>
          <w:b/>
          <w:bCs/>
          <w:color w:val="000000" w:themeColor="text1"/>
          <w:highlight w:val="none"/>
          <w:lang w:eastAsia="ru-RU"/>
        </w:rPr>
        <w:t xml:space="preserve">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С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остоялась встреча специалистов Управления Росреестра по Новосибирской области с председателями садоводческих некоммерческих товариществ (СНТ), владельцами земельных участков Новосибирской области. Основными вопросами для обсуждения стали исправление реестр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овых ошибок, границы земельных участков,  признаки неиспользования земельных участков и зонирование территорий.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Организаторами выступили новосибирский Росреестр и Новосибирский областной региональный Союз садоводов.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Мероприятие прошло в здании администрации Октябрьского района города Новосибирска.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Открыли встречу заместитель руководителя Управления Росреестра 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 по Новосибирской области Иван Пархоменко и председатель регионального Союза садоводов Сергей Машутов.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«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В 2025 году вступили в силу важные для землевладельцев изменения законодательства, инициированные Росреестром, прежде всего в целях защиты их прав и законных интересов. В частности, 1 сентября вступило в силу постановление Правительства РФ от 31.05.2025 № 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826, утвердившее перечень признаков неиспользования земельных участков. Зная этот перечень, владельцы земельных участков четко будут понимать, какие действия недопустимы в рамках действующего земельного законодательства», - сообщил Иван Пархоменко.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Заброшенные садовые и дачные участки можно встретить почти в каждом муниципальном образовании Новосибирской области, а ведь они представляют опасность для граждан – это и пожары, и проблемы при решении общих вопросов деятельности садоводческих товариществ.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К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ак сообщил заместитель начальника отдела государственного земельного надзора Алексей Дибирдеев, с начала 2025 года в результате профилактических мероприятий государственными инспекторами по использованию и охране земель Новосибирской области выдано 512 пре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достережений собственникам земельных участков в связи с выявлением признаков их неиспользования, это в 2 раза больше, чем за 2024 год.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Подробнее о признаках неиспользования земельных участков читайте в методическом пособии, разработанном Росреестром.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З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аместитель начальника отдела государственной регистрации недвижимости Ольга Лазарева рассказала о важности установления границ земельных участков. Сегодня почти 75% земельных участков Новосибирской области имеют точные координаты, сведения о границах внесе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н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ы в Единый государственный реестр недвижимости. Наличие в реестре недвижимости сведений о границах не только защитит собственников от споров с соседями, но и позволит совершать сделки с земельными участками и объектами, на них расположенными, а также при н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еобходимости включиться в программу социальной догазификации.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А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удитория проявила большой интерес к мероприятию, эксперты новосибирского Росреестра рассказали о нюансах выморочного имущества, зонирования территорий, о порядке исправления реестровых ошибок и использовании единой цифровой платформы «Национальная система 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пространственных данных» для получения услуг.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«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Члены СНТ зачастую не знают, как следует поступать, если у земельного участка отсутствует собственник, а также их беспокоят вопросы разрешенного использования участка. Мы получили исчерпывающие ответы на самые острые вопросы, которые сегодня волнуют предсе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д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ателей наших товариществ. Особый акцент в дискуссии был сделан на проблеме заброшенных участков, их захламлении и негативном влиянии на добросовестных соседей. Уверен, что такой прямой и открытый диалог будет способствовать наведению порядка в садоводствах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 нашего региона», – поделился Сергей Машутов.</w:t>
      </w: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/>
          <w:bCs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:highlight w:val="none"/>
          <w:lang w:eastAsia="ru-RU"/>
        </w:rPr>
        <w:t xml:space="preserve">22. </w:t>
      </w:r>
      <w:r>
        <w:rPr>
          <w:b/>
          <w:bCs/>
          <w:color w:val="000000" w:themeColor="text1"/>
          <w:highlight w:val="none"/>
          <w:lang w:eastAsia="ru-RU"/>
        </w:rPr>
        <w:t xml:space="preserve">Перечень свободных земель для развития туризма в регионе пополнился новыми территориями</w:t>
      </w:r>
      <w:r>
        <w:rPr>
          <w:b/>
          <w:bCs/>
          <w:color w:val="000000" w:themeColor="text1"/>
          <w:highlight w:val="none"/>
          <w:lang w:eastAsia="ru-RU"/>
        </w:rPr>
        <w:t xml:space="preserve">.</w:t>
      </w:r>
      <w:r>
        <w:rPr>
          <w:b/>
          <w:bCs/>
          <w:color w:val="000000" w:themeColor="text1"/>
          <w:highlight w:val="none"/>
          <w14:ligatures w14:val="none"/>
        </w:rPr>
      </w:r>
      <w:r>
        <w:rPr>
          <w:b/>
          <w:bCs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По состоянию на 1 ноября 2025 года на территории Новосибирской области выявлено 40 земельных участков для развития туризма общей площадью более 9 тысяч гектар.</w:t>
      </w:r>
      <w:r>
        <w:rPr>
          <w:b w:val="0"/>
          <w:bCs w:val="0"/>
          <w:color w:val="000000" w:themeColor="text1"/>
        </w:rPr>
      </w:r>
      <w:r>
        <w:rPr>
          <w:b w:val="0"/>
          <w:bCs w:val="0"/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Выявлен земельный участок площадью более 366 гектаров возле озера Светлое в Болотнинском районе, которое включено в список объектов туристического интереса.</w:t>
      </w:r>
      <w:r>
        <w:rPr>
          <w:b w:val="0"/>
          <w:bCs w:val="0"/>
          <w:color w:val="000000" w:themeColor="text1"/>
        </w:rPr>
      </w:r>
      <w:r>
        <w:rPr>
          <w:b w:val="0"/>
          <w:bCs w:val="0"/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Т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акже в список объектов туристического интереса включен ипподром им. Н. М. Полянкина в городе Черепаново, на котором ежегодно проводятся традиционные скачки. В июне 2025 года скачки состоялись в семьдесят первый раз. Как сообщили в газете «Черепановские вес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ти» в соревнованиях выступили коневладельцы хозяйства «Крутишинское», племзавода «Медведский», крестьянско-фермерского хозяйства Р.А. Винокурова, сборная команда черепановцев и сузунцев.</w:t>
      </w: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Региональным Росреестром и органами власти продолжается поиск объектов туристического притяжения и земельных участков, которые пригодны для развития туристической индустрии в нашем регионе.</w:t>
      </w:r>
      <w:r>
        <w:rPr>
          <w:b w:val="0"/>
          <w:bCs w:val="0"/>
          <w:color w:val="000000" w:themeColor="text1"/>
        </w:rPr>
      </w:r>
      <w:r>
        <w:rPr>
          <w:b w:val="0"/>
          <w:bCs w:val="0"/>
          <w:color w:val="000000" w:themeColor="text1"/>
        </w:rPr>
      </w:r>
    </w:p>
    <w:p>
      <w:pPr>
        <w:spacing w:line="240" w:lineRule="auto"/>
        <w:rPr>
          <w:b w:val="0"/>
          <w:bCs w:val="0"/>
          <w:color w:val="000000" w:themeColor="text1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:highlight w:val="none"/>
          <w:lang w:eastAsia="ru-RU"/>
        </w:rPr>
        <w:t xml:space="preserve">Н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овосибирская область входит в топ-10 национального туристического рейтинга и занимает 1-е место по туристическому потоку в Сибири. Более 15 тыс. человек посетили промышленные, научные и образовательные объекты региона в прошлом году. По прогнозам региональ</w:t>
      </w:r>
      <w:r>
        <w:rPr>
          <w:b w:val="0"/>
          <w:bCs w:val="0"/>
          <w:color w:val="000000" w:themeColor="text1"/>
          <w:highlight w:val="none"/>
          <w:lang w:eastAsia="ru-RU"/>
        </w:rPr>
        <w:t xml:space="preserve">ного минэкономразвития на этот год, цифра должна удвоиться.</w:t>
      </w:r>
      <w:r>
        <w:rPr>
          <w:b w:val="0"/>
          <w:bCs w:val="0"/>
          <w:color w:val="000000" w:themeColor="text1"/>
          <w:highlight w:val="none"/>
          <w14:ligatures w14:val="none"/>
        </w:rPr>
      </w:r>
      <w:r>
        <w:rPr>
          <w:b w:val="0"/>
          <w:bCs w:val="0"/>
          <w:color w:val="000000" w:themeColor="text1"/>
          <w:highlight w:val="none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/>
          <w:lang w:eastAsia="ru-RU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 Light">
    <w:panose1 w:val="020F05020202040302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  <w:jc w:val="center"/>
      <w:rPr>
        <w:color w:val="auto"/>
        <w:highlight w:val="none"/>
      </w:rPr>
    </w:pPr>
    <w:fldSimple w:instr="PAGE \* MERGEFORMAT">
      <w:r>
        <w:rPr>
          <w:color w:val="auto"/>
        </w:rPr>
        <w:t xml:space="preserve">1</w:t>
      </w:r>
    </w:fldSimple>
    <w:r>
      <w:rPr>
        <w:color w:val="auto"/>
      </w:rPr>
    </w:r>
    <w:r>
      <w:rPr>
        <w:color w:val="auto"/>
        <w:highlight w:val="none"/>
      </w:rPr>
    </w:r>
    <w:r>
      <w:rPr>
        <w:color w:val="auto"/>
        <w:highlight w:val="none"/>
      </w:rPr>
    </w:r>
  </w:p>
  <w:p>
    <w:pPr>
      <w:pStyle w:val="971"/>
      <w:jc w:val="center"/>
    </w:pPr>
    <w:r>
      <w:rPr>
        <w:color w:val="auto"/>
        <w:highlight w:val="none"/>
      </w:rPr>
    </w:r>
    <w:r>
      <w:rPr>
        <w:color w:val="auto"/>
        <w:highlight w:val="none"/>
      </w:rPr>
    </w:r>
    <w:r/>
  </w:p>
  <w:p>
    <w:pPr>
      <w:pStyle w:val="97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  <w:jc w:val="center"/>
      <w:rPr>
        <w:color w:val="ffffff" w:themeColor="background1"/>
      </w:rPr>
    </w:pPr>
    <w:fldSimple w:instr="PAGE \* MERGEFORMAT">
      <w:r>
        <w:rPr>
          <w:color w:val="ffffff" w:themeColor="background1"/>
        </w:rPr>
        <w:t xml:space="preserve">1</w:t>
      </w:r>
    </w:fldSimple>
    <w:r>
      <w:rPr>
        <w:color w:val="ffffff" w:themeColor="background1"/>
      </w:rPr>
    </w:r>
    <w:r>
      <w:rPr>
        <w:color w:val="ffffff" w:themeColor="background1"/>
      </w:rPr>
    </w:r>
    <w:r>
      <w:rPr>
        <w:color w:val="ffffff" w:themeColor="background1"/>
      </w:rPr>
    </w:r>
  </w:p>
  <w:p>
    <w:pPr>
      <w:pStyle w:val="9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4" w:hanging="46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9"/>
      <w:numFmt w:val="decimal"/>
      <w:isLgl w:val="false"/>
      <w:suff w:val="tab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15" w:hanging="615"/>
      </w:pPr>
    </w:lvl>
    <w:lvl w:ilvl="1">
      <w:start w:val="1"/>
      <w:numFmt w:val="decimal"/>
      <w:isLgl w:val="false"/>
      <w:suff w:val="tab"/>
      <w:lvlText w:val="%2."/>
      <w:lvlJc w:val="left"/>
      <w:pPr>
        <w:ind w:left="1951" w:hanging="720"/>
      </w:pPr>
      <w:rPr>
        <w:rFonts w:ascii="Times New Roman" w:hAnsi="Times New Roman" w:eastAsia="Calibri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182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4773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00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59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186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1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008" w:hanging="216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63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26"/>
  </w:num>
  <w:num w:numId="3">
    <w:abstractNumId w:val="30"/>
  </w:num>
  <w:num w:numId="4">
    <w:abstractNumId w:val="16"/>
  </w:num>
  <w:num w:numId="5">
    <w:abstractNumId w:val="28"/>
  </w:num>
  <w:num w:numId="6">
    <w:abstractNumId w:val="21"/>
  </w:num>
  <w:num w:numId="7">
    <w:abstractNumId w:val="17"/>
  </w:num>
  <w:num w:numId="8">
    <w:abstractNumId w:val="14"/>
  </w:num>
  <w:num w:numId="9">
    <w:abstractNumId w:val="35"/>
  </w:num>
  <w:num w:numId="10">
    <w:abstractNumId w:val="19"/>
  </w:num>
  <w:num w:numId="11">
    <w:abstractNumId w:val="11"/>
  </w:num>
  <w:num w:numId="12">
    <w:abstractNumId w:val="33"/>
  </w:num>
  <w:num w:numId="13">
    <w:abstractNumId w:val="3"/>
  </w:num>
  <w:num w:numId="14">
    <w:abstractNumId w:val="1"/>
  </w:num>
  <w:num w:numId="15">
    <w:abstractNumId w:val="5"/>
  </w:num>
  <w:num w:numId="16">
    <w:abstractNumId w:val="12"/>
  </w:num>
  <w:num w:numId="17">
    <w:abstractNumId w:val="24"/>
  </w:num>
  <w:num w:numId="18">
    <w:abstractNumId w:val="25"/>
  </w:num>
  <w:num w:numId="19">
    <w:abstractNumId w:val="22"/>
  </w:num>
  <w:num w:numId="20">
    <w:abstractNumId w:val="20"/>
  </w:num>
  <w:num w:numId="21">
    <w:abstractNumId w:val="31"/>
  </w:num>
  <w:num w:numId="22">
    <w:abstractNumId w:val="32"/>
  </w:num>
  <w:num w:numId="23">
    <w:abstractNumId w:val="2"/>
  </w:num>
  <w:num w:numId="24">
    <w:abstractNumId w:val="10"/>
  </w:num>
  <w:num w:numId="25">
    <w:abstractNumId w:val="6"/>
  </w:num>
  <w:num w:numId="26">
    <w:abstractNumId w:val="13"/>
  </w:num>
  <w:num w:numId="27">
    <w:abstractNumId w:val="7"/>
  </w:num>
  <w:num w:numId="28">
    <w:abstractNumId w:val="23"/>
  </w:num>
  <w:num w:numId="29">
    <w:abstractNumId w:val="4"/>
  </w:num>
  <w:num w:numId="30">
    <w:abstractNumId w:val="34"/>
  </w:num>
  <w:num w:numId="31">
    <w:abstractNumId w:val="29"/>
  </w:num>
  <w:num w:numId="32">
    <w:abstractNumId w:val="27"/>
  </w:num>
  <w:num w:numId="33">
    <w:abstractNumId w:val="15"/>
  </w:num>
  <w:num w:numId="34">
    <w:abstractNumId w:val="9"/>
  </w:num>
  <w:num w:numId="35">
    <w:abstractNumId w:val="0"/>
  </w:num>
  <w:num w:numId="36">
    <w:abstractNumId w:val="18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93">
    <w:name w:val="Heading 1 Char"/>
    <w:basedOn w:val="964"/>
    <w:link w:val="961"/>
    <w:uiPriority w:val="9"/>
    <w:rPr>
      <w:rFonts w:ascii="Arial" w:hAnsi="Arial" w:eastAsia="Arial" w:cs="Arial"/>
      <w:sz w:val="40"/>
      <w:szCs w:val="40"/>
    </w:rPr>
  </w:style>
  <w:style w:type="character" w:styleId="794">
    <w:name w:val="Heading 2 Char"/>
    <w:basedOn w:val="964"/>
    <w:link w:val="962"/>
    <w:uiPriority w:val="9"/>
    <w:rPr>
      <w:rFonts w:ascii="Arial" w:hAnsi="Arial" w:eastAsia="Arial" w:cs="Arial"/>
      <w:sz w:val="34"/>
    </w:rPr>
  </w:style>
  <w:style w:type="character" w:styleId="795">
    <w:name w:val="Heading 3 Char"/>
    <w:basedOn w:val="964"/>
    <w:link w:val="963"/>
    <w:uiPriority w:val="9"/>
    <w:rPr>
      <w:rFonts w:ascii="Arial" w:hAnsi="Arial" w:eastAsia="Arial" w:cs="Arial"/>
      <w:sz w:val="30"/>
      <w:szCs w:val="30"/>
    </w:rPr>
  </w:style>
  <w:style w:type="paragraph" w:styleId="796">
    <w:name w:val="Heading 4"/>
    <w:basedOn w:val="960"/>
    <w:next w:val="960"/>
    <w:link w:val="79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97">
    <w:name w:val="Heading 4 Char"/>
    <w:basedOn w:val="964"/>
    <w:link w:val="796"/>
    <w:uiPriority w:val="9"/>
    <w:rPr>
      <w:rFonts w:ascii="Arial" w:hAnsi="Arial" w:eastAsia="Arial" w:cs="Arial"/>
      <w:b/>
      <w:bCs/>
      <w:sz w:val="26"/>
      <w:szCs w:val="26"/>
    </w:rPr>
  </w:style>
  <w:style w:type="paragraph" w:styleId="798">
    <w:name w:val="Heading 5"/>
    <w:basedOn w:val="960"/>
    <w:next w:val="960"/>
    <w:link w:val="79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99">
    <w:name w:val="Heading 5 Char"/>
    <w:basedOn w:val="964"/>
    <w:link w:val="798"/>
    <w:uiPriority w:val="9"/>
    <w:rPr>
      <w:rFonts w:ascii="Arial" w:hAnsi="Arial" w:eastAsia="Arial" w:cs="Arial"/>
      <w:b/>
      <w:bCs/>
      <w:sz w:val="24"/>
      <w:szCs w:val="24"/>
    </w:rPr>
  </w:style>
  <w:style w:type="paragraph" w:styleId="800">
    <w:name w:val="Heading 6"/>
    <w:basedOn w:val="960"/>
    <w:next w:val="960"/>
    <w:link w:val="8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1">
    <w:name w:val="Heading 6 Char"/>
    <w:basedOn w:val="964"/>
    <w:link w:val="800"/>
    <w:uiPriority w:val="9"/>
    <w:rPr>
      <w:rFonts w:ascii="Arial" w:hAnsi="Arial" w:eastAsia="Arial" w:cs="Arial"/>
      <w:b/>
      <w:bCs/>
      <w:sz w:val="22"/>
      <w:szCs w:val="22"/>
    </w:rPr>
  </w:style>
  <w:style w:type="paragraph" w:styleId="802">
    <w:name w:val="Heading 7"/>
    <w:basedOn w:val="960"/>
    <w:next w:val="960"/>
    <w:link w:val="8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3">
    <w:name w:val="Heading 7 Char"/>
    <w:basedOn w:val="964"/>
    <w:link w:val="80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04">
    <w:name w:val="Heading 8"/>
    <w:basedOn w:val="960"/>
    <w:next w:val="960"/>
    <w:link w:val="80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05">
    <w:name w:val="Heading 8 Char"/>
    <w:basedOn w:val="964"/>
    <w:link w:val="804"/>
    <w:uiPriority w:val="9"/>
    <w:rPr>
      <w:rFonts w:ascii="Arial" w:hAnsi="Arial" w:eastAsia="Arial" w:cs="Arial"/>
      <w:i/>
      <w:iCs/>
      <w:sz w:val="22"/>
      <w:szCs w:val="22"/>
    </w:rPr>
  </w:style>
  <w:style w:type="paragraph" w:styleId="806">
    <w:name w:val="Heading 9"/>
    <w:basedOn w:val="960"/>
    <w:next w:val="960"/>
    <w:link w:val="80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7">
    <w:name w:val="Heading 9 Char"/>
    <w:basedOn w:val="964"/>
    <w:link w:val="806"/>
    <w:uiPriority w:val="9"/>
    <w:rPr>
      <w:rFonts w:ascii="Arial" w:hAnsi="Arial" w:eastAsia="Arial" w:cs="Arial"/>
      <w:i/>
      <w:iCs/>
      <w:sz w:val="21"/>
      <w:szCs w:val="21"/>
    </w:rPr>
  </w:style>
  <w:style w:type="paragraph" w:styleId="808">
    <w:name w:val="Title"/>
    <w:basedOn w:val="960"/>
    <w:next w:val="960"/>
    <w:link w:val="8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9">
    <w:name w:val="Title Char"/>
    <w:basedOn w:val="964"/>
    <w:link w:val="808"/>
    <w:uiPriority w:val="10"/>
    <w:rPr>
      <w:sz w:val="48"/>
      <w:szCs w:val="48"/>
    </w:rPr>
  </w:style>
  <w:style w:type="paragraph" w:styleId="810">
    <w:name w:val="Subtitle"/>
    <w:basedOn w:val="960"/>
    <w:next w:val="960"/>
    <w:link w:val="811"/>
    <w:uiPriority w:val="11"/>
    <w:qFormat/>
    <w:pPr>
      <w:spacing w:before="200" w:after="200"/>
    </w:pPr>
    <w:rPr>
      <w:sz w:val="24"/>
      <w:szCs w:val="24"/>
    </w:rPr>
  </w:style>
  <w:style w:type="character" w:styleId="811">
    <w:name w:val="Subtitle Char"/>
    <w:basedOn w:val="964"/>
    <w:link w:val="810"/>
    <w:uiPriority w:val="11"/>
    <w:rPr>
      <w:sz w:val="24"/>
      <w:szCs w:val="24"/>
    </w:rPr>
  </w:style>
  <w:style w:type="paragraph" w:styleId="812">
    <w:name w:val="Quote"/>
    <w:basedOn w:val="960"/>
    <w:next w:val="960"/>
    <w:link w:val="813"/>
    <w:uiPriority w:val="29"/>
    <w:qFormat/>
    <w:pPr>
      <w:ind w:left="720" w:right="720"/>
    </w:pPr>
    <w:rPr>
      <w:i/>
    </w:rPr>
  </w:style>
  <w:style w:type="character" w:styleId="813">
    <w:name w:val="Quote Char"/>
    <w:link w:val="812"/>
    <w:uiPriority w:val="29"/>
    <w:rPr>
      <w:i/>
    </w:rPr>
  </w:style>
  <w:style w:type="paragraph" w:styleId="814">
    <w:name w:val="Intense Quote"/>
    <w:basedOn w:val="960"/>
    <w:next w:val="960"/>
    <w:link w:val="81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5">
    <w:name w:val="Intense Quote Char"/>
    <w:link w:val="814"/>
    <w:uiPriority w:val="30"/>
    <w:rPr>
      <w:i/>
    </w:rPr>
  </w:style>
  <w:style w:type="character" w:styleId="816">
    <w:name w:val="Header Char"/>
    <w:basedOn w:val="964"/>
    <w:link w:val="971"/>
    <w:uiPriority w:val="99"/>
  </w:style>
  <w:style w:type="character" w:styleId="817">
    <w:name w:val="Footer Char"/>
    <w:basedOn w:val="964"/>
    <w:link w:val="997"/>
    <w:uiPriority w:val="99"/>
  </w:style>
  <w:style w:type="paragraph" w:styleId="818">
    <w:name w:val="Caption"/>
    <w:basedOn w:val="960"/>
    <w:next w:val="960"/>
    <w:link w:val="8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19">
    <w:name w:val="Caption Char"/>
    <w:basedOn w:val="818"/>
    <w:link w:val="997"/>
    <w:uiPriority w:val="99"/>
  </w:style>
  <w:style w:type="table" w:styleId="820">
    <w:name w:val="Table Grid Light"/>
    <w:basedOn w:val="9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1">
    <w:name w:val="Plain Table 1"/>
    <w:basedOn w:val="9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2">
    <w:name w:val="Plain Table 2"/>
    <w:basedOn w:val="9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3">
    <w:name w:val="Plain Table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4">
    <w:name w:val="Plain Table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Plain Table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6">
    <w:name w:val="Grid Table 1 Light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Grid Table 1 Light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Grid Table 1 Light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Grid Table 1 Light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Grid Table 1 Light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Grid Table 1 Light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Grid Table 1 Light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Grid Table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2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2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2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2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2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2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3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3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3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3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3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3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4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8">
    <w:name w:val="Grid Table 4 - Accent 1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49">
    <w:name w:val="Grid Table 4 - Accent 2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0">
    <w:name w:val="Grid Table 4 - Accent 3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1">
    <w:name w:val="Grid Table 4 - Accent 4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52">
    <w:name w:val="Grid Table 4 - Accent 5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53">
    <w:name w:val="Grid Table 4 - Accent 6"/>
    <w:basedOn w:val="9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54">
    <w:name w:val="Grid Table 5 Dark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5">
    <w:name w:val="Grid Table 5 Dark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6">
    <w:name w:val="Grid Table 5 Dark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7">
    <w:name w:val="Grid Table 5 Dark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8">
    <w:name w:val="Grid Table 5 Dark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59">
    <w:name w:val="Grid Table 5 Dark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60">
    <w:name w:val="Grid Table 5 Dark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61">
    <w:name w:val="Grid Table 6 Colorful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62">
    <w:name w:val="Grid Table 6 Colorful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63">
    <w:name w:val="Grid Table 6 Colorful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64">
    <w:name w:val="Grid Table 6 Colorful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65">
    <w:name w:val="Grid Table 6 Colorful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66">
    <w:name w:val="Grid Table 6 Colorful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7">
    <w:name w:val="Grid Table 6 Colorful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8">
    <w:name w:val="Grid Table 7 Colorful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7 Colorful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7 Colorful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7 Colorful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7 Colorful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7 Colorful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7 Colorful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List Table 1 Light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List Table 1 Light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List Table 1 Light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List Table 1 Light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List Table 1 Light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List Table 1 Light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List Table 1 Light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83">
    <w:name w:val="List Table 2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84">
    <w:name w:val="List Table 2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85">
    <w:name w:val="List Table 2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86">
    <w:name w:val="List Table 2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87">
    <w:name w:val="List Table 2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88">
    <w:name w:val="List Table 2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89">
    <w:name w:val="List Table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List Table 3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3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3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3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List Table 3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3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>
    <w:name w:val="List Table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4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4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4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4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4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4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5 Dark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4">
    <w:name w:val="List Table 5 Dark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5">
    <w:name w:val="List Table 5 Dark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6">
    <w:name w:val="List Table 5 Dark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7">
    <w:name w:val="List Table 5 Dark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8">
    <w:name w:val="List Table 5 Dark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9">
    <w:name w:val="List Table 5 Dark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0">
    <w:name w:val="List Table 6 Colorful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1">
    <w:name w:val="List Table 6 Colorful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12">
    <w:name w:val="List Table 6 Colorful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13">
    <w:name w:val="List Table 6 Colorful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14">
    <w:name w:val="List Table 6 Colorful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15">
    <w:name w:val="List Table 6 Colorful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16">
    <w:name w:val="List Table 6 Colorful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17">
    <w:name w:val="List Table 7 Colorful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18">
    <w:name w:val="List Table 7 Colorful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19">
    <w:name w:val="List Table 7 Colorful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20">
    <w:name w:val="List Table 7 Colorful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21">
    <w:name w:val="List Table 7 Colorful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22">
    <w:name w:val="List Table 7 Colorful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23">
    <w:name w:val="List Table 7 Colorful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24">
    <w:name w:val="Lined - Accent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25">
    <w:name w:val="Lined - Accent 1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26">
    <w:name w:val="Lined - Accent 2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27">
    <w:name w:val="Lined - Accent 3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28">
    <w:name w:val="Lined - Accent 4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29">
    <w:name w:val="Lined - Accent 5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30">
    <w:name w:val="Lined - Accent 6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31">
    <w:name w:val="Bordered &amp; Lined - Accent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2">
    <w:name w:val="Bordered &amp; Lined - Accent 1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33">
    <w:name w:val="Bordered &amp; Lined - Accent 2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34">
    <w:name w:val="Bordered &amp; Lined - Accent 3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35">
    <w:name w:val="Bordered &amp; Lined - Accent 4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36">
    <w:name w:val="Bordered &amp; Lined - Accent 5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37">
    <w:name w:val="Bordered &amp; Lined - Accent 6"/>
    <w:basedOn w:val="9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38">
    <w:name w:val="Bordered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39">
    <w:name w:val="Bordered - Accent 1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0">
    <w:name w:val="Bordered - Accent 2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1">
    <w:name w:val="Bordered - Accent 3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42">
    <w:name w:val="Bordered - Accent 4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43">
    <w:name w:val="Bordered - Accent 5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44">
    <w:name w:val="Bordered - Accent 6"/>
    <w:basedOn w:val="9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45">
    <w:name w:val="Footnote Text Char"/>
    <w:link w:val="978"/>
    <w:uiPriority w:val="99"/>
    <w:rPr>
      <w:sz w:val="18"/>
    </w:rPr>
  </w:style>
  <w:style w:type="paragraph" w:styleId="946">
    <w:name w:val="endnote text"/>
    <w:basedOn w:val="960"/>
    <w:link w:val="947"/>
    <w:uiPriority w:val="99"/>
    <w:semiHidden/>
    <w:unhideWhenUsed/>
    <w:pPr>
      <w:spacing w:after="0" w:line="240" w:lineRule="auto"/>
    </w:pPr>
    <w:rPr>
      <w:sz w:val="20"/>
    </w:rPr>
  </w:style>
  <w:style w:type="character" w:styleId="947">
    <w:name w:val="Endnote Text Char"/>
    <w:link w:val="946"/>
    <w:uiPriority w:val="99"/>
    <w:rPr>
      <w:sz w:val="20"/>
    </w:rPr>
  </w:style>
  <w:style w:type="character" w:styleId="948">
    <w:name w:val="endnote reference"/>
    <w:basedOn w:val="964"/>
    <w:uiPriority w:val="99"/>
    <w:semiHidden/>
    <w:unhideWhenUsed/>
    <w:rPr>
      <w:vertAlign w:val="superscript"/>
    </w:rPr>
  </w:style>
  <w:style w:type="paragraph" w:styleId="949">
    <w:name w:val="toc 1"/>
    <w:basedOn w:val="960"/>
    <w:next w:val="960"/>
    <w:uiPriority w:val="39"/>
    <w:unhideWhenUsed/>
    <w:pPr>
      <w:ind w:left="0" w:right="0" w:firstLine="0"/>
      <w:spacing w:after="57"/>
    </w:pPr>
  </w:style>
  <w:style w:type="paragraph" w:styleId="950">
    <w:name w:val="toc 2"/>
    <w:basedOn w:val="960"/>
    <w:next w:val="960"/>
    <w:uiPriority w:val="39"/>
    <w:unhideWhenUsed/>
    <w:pPr>
      <w:ind w:left="283" w:right="0" w:firstLine="0"/>
      <w:spacing w:after="57"/>
    </w:pPr>
  </w:style>
  <w:style w:type="paragraph" w:styleId="951">
    <w:name w:val="toc 3"/>
    <w:basedOn w:val="960"/>
    <w:next w:val="960"/>
    <w:uiPriority w:val="39"/>
    <w:unhideWhenUsed/>
    <w:pPr>
      <w:ind w:left="567" w:right="0" w:firstLine="0"/>
      <w:spacing w:after="57"/>
    </w:pPr>
  </w:style>
  <w:style w:type="paragraph" w:styleId="952">
    <w:name w:val="toc 4"/>
    <w:basedOn w:val="960"/>
    <w:next w:val="960"/>
    <w:uiPriority w:val="39"/>
    <w:unhideWhenUsed/>
    <w:pPr>
      <w:ind w:left="850" w:right="0" w:firstLine="0"/>
      <w:spacing w:after="57"/>
    </w:pPr>
  </w:style>
  <w:style w:type="paragraph" w:styleId="953">
    <w:name w:val="toc 5"/>
    <w:basedOn w:val="960"/>
    <w:next w:val="960"/>
    <w:uiPriority w:val="39"/>
    <w:unhideWhenUsed/>
    <w:pPr>
      <w:ind w:left="1134" w:right="0" w:firstLine="0"/>
      <w:spacing w:after="57"/>
    </w:pPr>
  </w:style>
  <w:style w:type="paragraph" w:styleId="954">
    <w:name w:val="toc 6"/>
    <w:basedOn w:val="960"/>
    <w:next w:val="960"/>
    <w:uiPriority w:val="39"/>
    <w:unhideWhenUsed/>
    <w:pPr>
      <w:ind w:left="1417" w:right="0" w:firstLine="0"/>
      <w:spacing w:after="57"/>
    </w:pPr>
  </w:style>
  <w:style w:type="paragraph" w:styleId="955">
    <w:name w:val="toc 7"/>
    <w:basedOn w:val="960"/>
    <w:next w:val="960"/>
    <w:uiPriority w:val="39"/>
    <w:unhideWhenUsed/>
    <w:pPr>
      <w:ind w:left="1701" w:right="0" w:firstLine="0"/>
      <w:spacing w:after="57"/>
    </w:pPr>
  </w:style>
  <w:style w:type="paragraph" w:styleId="956">
    <w:name w:val="toc 8"/>
    <w:basedOn w:val="960"/>
    <w:next w:val="960"/>
    <w:uiPriority w:val="39"/>
    <w:unhideWhenUsed/>
    <w:pPr>
      <w:ind w:left="1984" w:right="0" w:firstLine="0"/>
      <w:spacing w:after="57"/>
    </w:pPr>
  </w:style>
  <w:style w:type="paragraph" w:styleId="957">
    <w:name w:val="toc 9"/>
    <w:basedOn w:val="960"/>
    <w:next w:val="960"/>
    <w:uiPriority w:val="39"/>
    <w:unhideWhenUsed/>
    <w:pPr>
      <w:ind w:left="2268" w:right="0" w:firstLine="0"/>
      <w:spacing w:after="57"/>
    </w:pPr>
  </w:style>
  <w:style w:type="paragraph" w:styleId="958">
    <w:name w:val="TOC Heading"/>
    <w:uiPriority w:val="39"/>
    <w:unhideWhenUsed/>
  </w:style>
  <w:style w:type="paragraph" w:styleId="959">
    <w:name w:val="table of figures"/>
    <w:basedOn w:val="960"/>
    <w:next w:val="960"/>
    <w:uiPriority w:val="99"/>
    <w:unhideWhenUsed/>
    <w:pPr>
      <w:spacing w:after="0" w:afterAutospacing="0"/>
    </w:pPr>
  </w:style>
  <w:style w:type="paragraph" w:styleId="960" w:default="1">
    <w:name w:val="Normal"/>
    <w:qFormat/>
    <w:pPr>
      <w:contextualSpacing/>
      <w:ind w:firstLine="708"/>
      <w:jc w:val="both"/>
      <w:spacing w:line="240" w:lineRule="auto"/>
    </w:pPr>
    <w:rPr>
      <w:rFonts w:ascii="Times New Roman" w:hAnsi="Times New Roman" w:eastAsia="Calibri" w:cs="Times New Roman"/>
      <w:b/>
      <w:bCs/>
      <w:color w:val="000000"/>
      <w:sz w:val="28"/>
      <w:szCs w:val="28"/>
      <w:shd w:val="clear" w:color="ffffff" w:themeColor="background1" w:fill="ffffff" w:themeFill="background1"/>
    </w:rPr>
  </w:style>
  <w:style w:type="paragraph" w:styleId="961">
    <w:name w:val="Heading 1"/>
    <w:basedOn w:val="960"/>
    <w:link w:val="967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62">
    <w:name w:val="Heading 2"/>
    <w:basedOn w:val="960"/>
    <w:next w:val="960"/>
    <w:link w:val="984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63">
    <w:name w:val="Heading 3"/>
    <w:basedOn w:val="960"/>
    <w:next w:val="960"/>
    <w:link w:val="1005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964" w:default="1">
    <w:name w:val="Default Paragraph Font"/>
    <w:uiPriority w:val="1"/>
    <w:semiHidden/>
    <w:unhideWhenUsed/>
  </w:style>
  <w:style w:type="table" w:styleId="9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66" w:default="1">
    <w:name w:val="No List"/>
    <w:uiPriority w:val="99"/>
    <w:semiHidden/>
    <w:unhideWhenUsed/>
  </w:style>
  <w:style w:type="character" w:styleId="967" w:customStyle="1">
    <w:name w:val="Заголовок 1 Знак"/>
    <w:basedOn w:val="964"/>
    <w:link w:val="961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68" w:customStyle="1">
    <w:name w:val="ConsPlusNormal"/>
    <w:link w:val="969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969" w:customStyle="1">
    <w:name w:val="ConsPlusNormal Знак"/>
    <w:basedOn w:val="964"/>
    <w:link w:val="968"/>
    <w:rPr>
      <w:rFonts w:ascii="Arial" w:hAnsi="Arial" w:eastAsia="Times New Roman" w:cs="Arial"/>
      <w:sz w:val="20"/>
      <w:szCs w:val="20"/>
      <w:lang w:eastAsia="ru-RU"/>
    </w:rPr>
  </w:style>
  <w:style w:type="character" w:styleId="970">
    <w:name w:val="Hyperlink"/>
    <w:basedOn w:val="964"/>
    <w:unhideWhenUsed/>
    <w:rPr>
      <w:color w:val="0000ff"/>
      <w:u w:val="single"/>
    </w:rPr>
  </w:style>
  <w:style w:type="paragraph" w:styleId="971">
    <w:name w:val="Header"/>
    <w:basedOn w:val="960"/>
    <w:link w:val="972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72" w:customStyle="1">
    <w:name w:val="Верхний колонтитул Знак"/>
    <w:basedOn w:val="964"/>
    <w:link w:val="971"/>
    <w:uiPriority w:val="99"/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73" w:customStyle="1">
    <w:name w:val="title1"/>
    <w:basedOn w:val="964"/>
  </w:style>
  <w:style w:type="paragraph" w:styleId="974">
    <w:name w:val="Balloon Text"/>
    <w:basedOn w:val="960"/>
    <w:link w:val="97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75" w:customStyle="1">
    <w:name w:val="Текст выноски Знак"/>
    <w:basedOn w:val="964"/>
    <w:link w:val="974"/>
    <w:uiPriority w:val="99"/>
    <w:semiHidden/>
    <w:rPr>
      <w:rFonts w:ascii="Tahoma" w:hAnsi="Tahoma" w:cs="Tahoma"/>
      <w:sz w:val="16"/>
      <w:szCs w:val="16"/>
    </w:rPr>
  </w:style>
  <w:style w:type="paragraph" w:styleId="976">
    <w:name w:val="Normal (Web)"/>
    <w:basedOn w:val="960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77">
    <w:name w:val="Table Grid"/>
    <w:basedOn w:val="96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78">
    <w:name w:val="footnote text"/>
    <w:basedOn w:val="960"/>
    <w:link w:val="979"/>
    <w:uiPriority w:val="99"/>
    <w:unhideWhenUsed/>
    <w:pPr>
      <w:spacing w:after="0" w:line="240" w:lineRule="auto"/>
    </w:pPr>
    <w:rPr>
      <w:sz w:val="20"/>
      <w:szCs w:val="20"/>
    </w:rPr>
  </w:style>
  <w:style w:type="character" w:styleId="979" w:customStyle="1">
    <w:name w:val="Текст сноски Знак"/>
    <w:basedOn w:val="964"/>
    <w:link w:val="978"/>
    <w:uiPriority w:val="99"/>
    <w:rPr>
      <w:sz w:val="20"/>
      <w:szCs w:val="20"/>
    </w:rPr>
  </w:style>
  <w:style w:type="character" w:styleId="980">
    <w:name w:val="footnote reference"/>
    <w:basedOn w:val="964"/>
    <w:uiPriority w:val="99"/>
    <w:unhideWhenUsed/>
    <w:rPr>
      <w:vertAlign w:val="superscript"/>
    </w:rPr>
  </w:style>
  <w:style w:type="paragraph" w:styleId="981">
    <w:name w:val="List Paragraph"/>
    <w:basedOn w:val="960"/>
    <w:uiPriority w:val="34"/>
    <w:qFormat/>
    <w:pPr>
      <w:contextualSpacing/>
      <w:ind w:left="720"/>
      <w:spacing w:after="160" w:line="259" w:lineRule="auto"/>
    </w:pPr>
  </w:style>
  <w:style w:type="paragraph" w:styleId="982">
    <w:name w:val="Body Text"/>
    <w:basedOn w:val="960"/>
    <w:link w:val="983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character" w:styleId="983" w:customStyle="1">
    <w:name w:val="Основной текст Знак"/>
    <w:basedOn w:val="964"/>
    <w:link w:val="982"/>
    <w:uiPriority w:val="1"/>
    <w:rPr>
      <w:rFonts w:ascii="Times New Roman" w:hAnsi="Times New Roman" w:eastAsia="Times New Roman" w:cs="Times New Roman"/>
      <w:sz w:val="28"/>
      <w:szCs w:val="28"/>
    </w:rPr>
  </w:style>
  <w:style w:type="character" w:styleId="984" w:customStyle="1">
    <w:name w:val="Заголовок 2 Знак"/>
    <w:basedOn w:val="964"/>
    <w:link w:val="962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85" w:customStyle="1">
    <w:name w:val="Абзац списка1"/>
    <w:basedOn w:val="960"/>
    <w:pPr>
      <w:contextualSpacing/>
      <w:ind w:left="720"/>
      <w:spacing w:after="0" w:line="240" w:lineRule="auto"/>
    </w:pPr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986">
    <w:name w:val="Strong"/>
    <w:basedOn w:val="964"/>
    <w:uiPriority w:val="22"/>
    <w:qFormat/>
    <w:rPr>
      <w:b/>
      <w:bCs/>
    </w:rPr>
  </w:style>
  <w:style w:type="character" w:styleId="987" w:customStyle="1">
    <w:name w:val="news__arrowdesktop"/>
    <w:basedOn w:val="964"/>
  </w:style>
  <w:style w:type="paragraph" w:styleId="988" w:customStyle="1">
    <w:name w:val="align_center"/>
    <w:basedOn w:val="9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89" w:customStyle="1">
    <w:name w:val="no-indent"/>
    <w:basedOn w:val="9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90">
    <w:name w:val="No Spacing"/>
    <w:link w:val="1003"/>
    <w:uiPriority w:val="1"/>
    <w:qFormat/>
    <w:pPr>
      <w:spacing w:after="0" w:line="240" w:lineRule="auto"/>
    </w:pPr>
  </w:style>
  <w:style w:type="character" w:styleId="991" w:customStyle="1">
    <w:name w:val="Текст примечания Знак"/>
    <w:basedOn w:val="964"/>
    <w:link w:val="992"/>
    <w:uiPriority w:val="99"/>
    <w:semiHidden/>
    <w:rPr>
      <w:sz w:val="20"/>
      <w:szCs w:val="20"/>
    </w:rPr>
  </w:style>
  <w:style w:type="paragraph" w:styleId="992">
    <w:name w:val="annotation text"/>
    <w:basedOn w:val="960"/>
    <w:link w:val="991"/>
    <w:uiPriority w:val="99"/>
    <w:semiHidden/>
    <w:unhideWhenUsed/>
    <w:pPr>
      <w:spacing w:after="160" w:line="240" w:lineRule="auto"/>
    </w:pPr>
    <w:rPr>
      <w:sz w:val="20"/>
      <w:szCs w:val="20"/>
    </w:rPr>
  </w:style>
  <w:style w:type="character" w:styleId="993" w:customStyle="1">
    <w:name w:val="Текст примечания Знак1"/>
    <w:basedOn w:val="964"/>
    <w:uiPriority w:val="99"/>
    <w:semiHidden/>
    <w:rPr>
      <w:sz w:val="20"/>
      <w:szCs w:val="20"/>
    </w:rPr>
  </w:style>
  <w:style w:type="character" w:styleId="994" w:customStyle="1">
    <w:name w:val="Тема примечания Знак"/>
    <w:basedOn w:val="991"/>
    <w:link w:val="995"/>
    <w:uiPriority w:val="99"/>
    <w:semiHidden/>
    <w:rPr>
      <w:b/>
      <w:bCs/>
      <w:sz w:val="20"/>
      <w:szCs w:val="20"/>
    </w:rPr>
  </w:style>
  <w:style w:type="paragraph" w:styleId="995">
    <w:name w:val="annotation subject"/>
    <w:basedOn w:val="992"/>
    <w:next w:val="992"/>
    <w:link w:val="994"/>
    <w:uiPriority w:val="99"/>
    <w:semiHidden/>
    <w:unhideWhenUsed/>
    <w:rPr>
      <w:b/>
      <w:bCs/>
    </w:rPr>
  </w:style>
  <w:style w:type="character" w:styleId="996" w:customStyle="1">
    <w:name w:val="Тема примечания Знак1"/>
    <w:basedOn w:val="993"/>
    <w:uiPriority w:val="99"/>
    <w:semiHidden/>
    <w:rPr>
      <w:b/>
      <w:bCs/>
      <w:sz w:val="20"/>
      <w:szCs w:val="20"/>
    </w:rPr>
  </w:style>
  <w:style w:type="paragraph" w:styleId="997">
    <w:name w:val="Footer"/>
    <w:basedOn w:val="960"/>
    <w:link w:val="99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98" w:customStyle="1">
    <w:name w:val="Нижний колонтитул Знак"/>
    <w:basedOn w:val="964"/>
    <w:link w:val="997"/>
    <w:uiPriority w:val="99"/>
  </w:style>
  <w:style w:type="paragraph" w:styleId="999" w:customStyle="1">
    <w:name w:val="Style4"/>
    <w:basedOn w:val="960"/>
    <w:uiPriority w:val="99"/>
    <w:pPr>
      <w:ind w:firstLine="845"/>
      <w:jc w:val="both"/>
      <w:spacing w:after="0" w:line="323" w:lineRule="exact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styleId="1000" w:customStyle="1">
    <w:name w:val="Font Style20"/>
    <w:basedOn w:val="964"/>
    <w:uiPriority w:val="99"/>
    <w:rPr>
      <w:rFonts w:ascii="Times New Roman" w:hAnsi="Times New Roman" w:cs="Times New Roman"/>
      <w:sz w:val="26"/>
      <w:szCs w:val="26"/>
    </w:rPr>
  </w:style>
  <w:style w:type="paragraph" w:styleId="1001" w:customStyle="1">
    <w:name w:val="Style8"/>
    <w:basedOn w:val="960"/>
    <w:uiPriority w:val="99"/>
    <w:pPr>
      <w:jc w:val="both"/>
      <w:spacing w:after="0" w:line="240" w:lineRule="auto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002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character" w:styleId="1003" w:customStyle="1">
    <w:name w:val="Без интервала Знак"/>
    <w:link w:val="990"/>
    <w:uiPriority w:val="1"/>
  </w:style>
  <w:style w:type="paragraph" w:styleId="1004" w:customStyle="1">
    <w:name w:val="Style11"/>
    <w:basedOn w:val="960"/>
    <w:uiPriority w:val="99"/>
    <w:pPr>
      <w:jc w:val="both"/>
      <w:spacing w:after="0" w:line="371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05" w:customStyle="1">
    <w:name w:val="Заголовок 3 Знак"/>
    <w:basedOn w:val="964"/>
    <w:link w:val="963"/>
    <w:uiPriority w:val="9"/>
    <w:semiHidden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1006" w:customStyle="1">
    <w:name w:val="Style17"/>
    <w:basedOn w:val="960"/>
    <w:uiPriority w:val="99"/>
    <w:pPr>
      <w:ind w:firstLine="706"/>
      <w:jc w:val="both"/>
      <w:spacing w:after="0" w:line="370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07" w:customStyle="1">
    <w:name w:val="u"/>
    <w:basedOn w:val="9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08" w:customStyle="1">
    <w:name w:val="Сетка таблицы1"/>
    <w:basedOn w:val="965"/>
    <w:next w:val="977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09" w:customStyle="1">
    <w:name w:val="Абзац списка"/>
    <w:uiPriority w:val="34"/>
    <w:qFormat/>
    <w:pPr>
      <w:contextualSpacing/>
      <w:ind w:left="72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10" w:customStyle="1">
    <w:name w:val="Обычный (веб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11" w:customStyle="1">
    <w:name w:val="Текст сноски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ru-RU" w:bidi="ar-SA"/>
      <w14:ligatures w14:val="none"/>
    </w:rPr>
  </w:style>
  <w:style w:type="character" w:styleId="1012" w:customStyle="1">
    <w:name w:val="Знак сноски"/>
    <w:uiPriority w:val="99"/>
    <w:semiHidden/>
    <w:rPr>
      <w:vertAlign w:val="superscript"/>
    </w:rPr>
  </w:style>
  <w:style w:type="paragraph" w:styleId="1013" w:customStyle="1">
    <w:name w:val="Style1"/>
    <w:uiPriority w:val="99"/>
    <w:pPr>
      <w:contextualSpacing w:val="0"/>
      <w:ind w:left="0" w:right="0" w:firstLine="713"/>
      <w:jc w:val="both"/>
      <w:keepLines w:val="0"/>
      <w:keepNext w:val="0"/>
      <w:pageBreakBefore w:val="0"/>
      <w:spacing w:before="0" w:beforeAutospacing="0" w:after="0" w:afterAutospacing="0" w:line="356" w:lineRule="exact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14" w:customStyle="1">
    <w:name w:val="Default"/>
    <w:next w:val="96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015" w:customStyle="1">
    <w:name w:val="Гиперссылка"/>
    <w:uiPriority w:val="99"/>
    <w:rPr>
      <w:color w:val="0000ff"/>
      <w:u w:val="single"/>
    </w:rPr>
  </w:style>
  <w:style w:type="paragraph" w:styleId="1016" w:customStyle="1">
    <w:name w:val="Без интервала"/>
    <w:next w:val="870"/>
    <w:link w:val="798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17" w:customStyle="1">
    <w:name w:val="Заголовок 3"/>
    <w:uiPriority w:val="9"/>
    <w:unhideWhenUsed/>
    <w:qFormat/>
    <w:pPr>
      <w:contextualSpacing w:val="0"/>
      <w:ind w:left="0" w:right="0" w:firstLine="709"/>
      <w:jc w:val="both"/>
      <w:keepLines w:val="0"/>
      <w:keepNext/>
      <w:pageBreakBefore w:val="0"/>
      <w:spacing w:before="240" w:beforeAutospacing="0" w:after="6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Calibri Light" w:hAnsi="Calibri Light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6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18" w:customStyle="1">
    <w:name w:val="Text body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19" w:customStyle="1">
    <w:name w:val="ConsPlusTitlePage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ahoma" w:hAnsi="Tahoma" w:eastAsia="Times New Roman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20" w:customStyle="1">
    <w:name w:val="Простой Текст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16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hyperlink" Target="https://pos.gosuslugi.ru/landing/" TargetMode="External"/><Relationship Id="rId23" Type="http://schemas.openxmlformats.org/officeDocument/2006/relationships/hyperlink" Target="https://rosreestr.gov.ru/feedback/poryadok-rassmotreniya/" TargetMode="External"/><Relationship Id="rId24" Type="http://schemas.openxmlformats.org/officeDocument/2006/relationships/hyperlink" Target="https://pos.gosuslugi.ru/lkp/polls/550862/" TargetMode="External"/><Relationship Id="rId25" Type="http://schemas.openxmlformats.org/officeDocument/2006/relationships/hyperlink" Target="https://pos.gosuslugi.ru/lkp/polls/550870/" TargetMode="External"/><Relationship Id="rId26" Type="http://schemas.openxmlformats.org/officeDocument/2006/relationships/hyperlink" Target="https://rosreestr.gov.ru/open-service/poleznye-ssylki/gosuslugi-reshaem-vmeste/" TargetMode="External"/><Relationship Id="rId27" Type="http://schemas.openxmlformats.org/officeDocument/2006/relationships/hyperlink" Target="https://www.consultant.ru/document/cons_doc_LAW_182661/1bb209ee024aa5a0306bf99ee78ae02e20d1b459/" TargetMode="External"/><Relationship Id="rId28" Type="http://schemas.openxmlformats.org/officeDocument/2006/relationships/hyperlink" Target="https://www.rustore.ru/catalog/app/ru.rosreestr.mobile" TargetMode="External"/><Relationship Id="rId29" Type="http://schemas.openxmlformats.org/officeDocument/2006/relationships/hyperlink" Target="https://rosreestr.gov.ru/" TargetMode="External"/><Relationship Id="rId30" Type="http://schemas.openxmlformats.org/officeDocument/2006/relationships/hyperlink" Target="https://www.gosuslugi.ru/" TargetMode="External"/><Relationship Id="rId31" Type="http://schemas.openxmlformats.org/officeDocument/2006/relationships/hyperlink" Target="https://mfc-nso.ru/" TargetMode="External"/><Relationship Id="rId32" Type="http://schemas.openxmlformats.org/officeDocument/2006/relationships/hyperlink" Target="https://rosreestr.gov.ru/press/archive/reg/zashchita-prav-obshchaya-tsel-novosibirskogo-rosreestra-i-sluzhby-sudebnykh-pristavov-11125-54/rosreestr.gov.ru" TargetMode="External"/><Relationship Id="rId33" Type="http://schemas.openxmlformats.org/officeDocument/2006/relationships/hyperlink" Target="https://rosreestr.gov.ru/press/archive/reg/zashchita-prav-obshchaya-tsel-novosibirskogo-rosreestra-i-sluzhby-sudebnykh-pristavov-11125-54/fssp.gov.ru" TargetMode="External"/><Relationship Id="rId34" Type="http://schemas.openxmlformats.org/officeDocument/2006/relationships/hyperlink" Target="https://rosreestr.gov.ru/eservices/services/tickets/" TargetMode="External"/><Relationship Id="rId35" Type="http://schemas.openxmlformats.org/officeDocument/2006/relationships/hyperlink" Target="https://www.gosuslugi.ru/" TargetMode="External"/><Relationship Id="rId36" Type="http://schemas.openxmlformats.org/officeDocument/2006/relationships/hyperlink" Target="https://www.gosuslugi.ru/" TargetMode="External"/><Relationship Id="rId37" Type="http://schemas.openxmlformats.org/officeDocument/2006/relationships/hyperlink" Target="https://nspd.gov.ru/map" TargetMode="External"/><Relationship Id="rId38" Type="http://schemas.openxmlformats.org/officeDocument/2006/relationships/hyperlink" Target="https://rosreestr.gov.ru/feedback/poryadok-rassmotreniya/obrashchenie-grazhdan-v-upravlenie-rosreestra-po-novosibirskoy-oblasti/sposoby-napravleniya-obrashcheniy-54/" TargetMode="External"/><Relationship Id="rId39" Type="http://schemas.openxmlformats.org/officeDocument/2006/relationships/hyperlink" Target="https://www.gosuslugi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D05F-EA87-412F-94C7-22C86E3B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ziaa</dc:creator>
  <cp:keywords/>
  <dc:description/>
  <cp:lastModifiedBy>kdc</cp:lastModifiedBy>
  <cp:revision>86</cp:revision>
  <dcterms:created xsi:type="dcterms:W3CDTF">2023-01-26T03:20:00Z</dcterms:created>
  <dcterms:modified xsi:type="dcterms:W3CDTF">2025-12-10T08:25:03Z</dcterms:modified>
</cp:coreProperties>
</file>