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-756285</wp:posOffset>
                </wp:positionH>
                <wp:positionV relativeFrom="margin">
                  <wp:posOffset>622935</wp:posOffset>
                </wp:positionV>
                <wp:extent cx="6838950" cy="4448175"/>
                <wp:effectExtent l="19050" t="0" r="0" b="0"/>
                <wp:wrapSquare wrapText="bothSides"/>
                <wp:docPr id="1" name="Рисунок 1" descr="MM_shadow-people-ill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MM_shadow-people-illus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838950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-59.55pt;mso-position-horizontal:absolute;mso-position-vertical-relative:margin;margin-top:49.05pt;mso-position-vertical:absolute;width:538.50pt;height:350.25pt;mso-wrap-distance-left:9.00pt;mso-wrap-distance-top:0.00pt;mso-wrap-distance-right:9.00pt;mso-wrap-distance-bottom:0.00pt;" stroked="f" strokeweight="0.75pt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ВЫПУСК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оказании услуг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сфере государственного кадастрового учета, государственной регистрации прав 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предоставления сведений из ЕГРН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 ПРАВОВОГО ОБЕСПЕЧЕНИЯ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УПРАВЛЕНИЯ РОСРЕЕСТРА ПО НОВОСИБИРСКОЙ ОБЛАСТИ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contextualSpacing/>
        <w:ind w:firstLine="708"/>
        <w:jc w:val="both"/>
        <w:rPr>
          <w:rFonts w:ascii="Times New Roman" w:hAnsi="Times New Roman" w:eastAsia="Calibri" w:cs="Times New Roman"/>
          <w:b/>
          <w:bCs/>
          <w:color w:val="000000"/>
          <w14:ligatures w14:val="none"/>
        </w:rPr>
        <w:sectPr>
          <w:headerReference w:type="default" r:id="rId9"/>
          <w:headerReference w:type="first" r:id="rId10"/>
          <w:footerReference w:type="first" r:id="rId11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Calibri" w:cs="Times New Roman"/>
          <w:b/>
          <w:bCs/>
          <w:color w:val="000000"/>
          <w:sz w:val="28"/>
          <w:szCs w:val="28"/>
          <w:highlight w:val="none"/>
          <w:shd w:val="clear" w:color="ffffff" w:themeColor="background1" w:fill="ffffff" w:themeFill="background1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  <w:r>
        <w:rPr>
          <w:rFonts w:ascii="Times New Roman" w:hAnsi="Times New Roman" w:eastAsia="Calibri" w:cs="Times New Roman"/>
          <w:b/>
          <w:bCs/>
          <w:color w:val="000000"/>
          <w14:ligatures w14:val="none"/>
        </w:rPr>
      </w:r>
    </w:p>
    <w:p>
      <w:pPr>
        <w:pStyle w:val="994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Новости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одательства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94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  <w:t xml:space="preserve">1. </w:t>
      </w:r>
      <w:r>
        <w:rPr>
          <w:b/>
          <w:bCs/>
          <w:highlight w:val="none"/>
        </w:rPr>
        <w:t xml:space="preserve">Постановление Правительства РФ от 23.04.2026 № 453 «О внесении изменений в некоторые акты Правительства Российской Федерации».</w:t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Актуализирован порядок предоставления документов в орган регистрации прав на недвижимое имущество.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Предусмотрено, что в случае принятия решения об установлении, изменении границ сельскохозяйственных угодий в составе земель сельскохозяйственного назначения Минсельхоз России в течение 5 рабочих дней со дня принятия такого решения направляет в орган регист</w:t>
      </w:r>
      <w:r>
        <w:rPr>
          <w:b w:val="0"/>
          <w:bCs w:val="0"/>
          <w:highlight w:val="none"/>
        </w:rPr>
        <w:t xml:space="preserve">рации прав документы (содержащиеся в них сведения), необходимые для внесения соответствующих сведений в ЕГРН.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Обязательным приложением к указанным документам (содержащимся в них сведениям) являются сведения о границах сельскохозяйственных угодий в составе земель сельскохозяйственного назначения, которые должны содержать графическое описание местоположения указанны</w:t>
      </w:r>
      <w:r>
        <w:rPr>
          <w:b w:val="0"/>
          <w:bCs w:val="0"/>
          <w:highlight w:val="none"/>
        </w:rPr>
        <w:t xml:space="preserve">х границ и перечень координат характерных точек указанных границ в системе координат, установленной для ведения ЕГРН.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</w:r>
      <w:r>
        <w:rPr>
          <w:b/>
          <w:bCs/>
          <w:highlight w:val="none"/>
        </w:rPr>
      </w:r>
      <w:r>
        <w:rPr>
          <w:b/>
          <w:bCs/>
          <w:highlight w:val="none"/>
        </w:rPr>
        <w:t xml:space="preserve">2.</w:t>
      </w:r>
      <w:r>
        <w:rPr>
          <w:b/>
          <w:bCs/>
          <w:highlight w:val="none"/>
        </w:rPr>
        <w:t xml:space="preserve"> Постановление Правительства РФ от 10.05.2026 № 538 «О внесении изменения в постановление Правительства Российской Федерации от 29 мая 2023 г. № 857».</w:t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Уточнены основания подачи правообладателем земельного участка в уполномоченный орган местного самоуправления заявления для согласования архитектурно-градостроительного облика планируемого объекта капитального строительства.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Установлено, что такое заявление подается в случаях, предусмотренных не только </w:t>
      </w:r>
      <w:hyperlink r:id="rId14" w:tooltip="https://newsletters.consultant.ru/link/eyJlbWFpbF9pZCI6IjI0NzY2MCIsImNuIjoiMzM1MzpCTEQ6anVyaXN0IiwibGV0dGVyX2lkIjoiMzM1MyIsInVybCI6Imh0dHBzOlwvXC9sb2dpbi5jb25zdWx0YW50LnJ1XC9saW5rXC8_cmVxPWRvYyZiYXNlPUxBVyZuPTUyOTY3OCZkc3Q9MzE5MiZzZW5kPTEiLCJzY29wZSI6IkJMRCJ9.1/" w:history="1">
        <w:r>
          <w:rPr>
            <w:b w:val="0"/>
            <w:bCs w:val="0"/>
            <w:highlight w:val="none"/>
          </w:rPr>
          <w:t xml:space="preserve">частью 1.1</w:t>
        </w:r>
      </w:hyperlink>
      <w:r>
        <w:rPr>
          <w:b w:val="0"/>
          <w:bCs w:val="0"/>
          <w:highlight w:val="none"/>
        </w:rPr>
        <w:t xml:space="preserve">, но и </w:t>
      </w:r>
      <w:hyperlink r:id="rId15" w:tooltip="https://newsletters.consultant.ru/link/eyJlbWFpbF9pZCI6IjI0NzY2MCIsImNuIjoiMzM1MzpCTEQ6anVyaXN0IiwibGV0dGVyX2lkIjoiMzM1MyIsInVybCI6Imh0dHBzOlwvXC9sb2dpbi5jb25zdWx0YW50LnJ1XC9saW5rXC8_cmVxPWRvYyZiYXNlPUxBVyZuPTUyOTY3OCZkc3Q9NDczOCZzZW5kPTEiLCJzY29wZSI6IkJMRCJ9.1/" w:history="1">
        <w:r>
          <w:rPr>
            <w:b w:val="0"/>
            <w:bCs w:val="0"/>
            <w:highlight w:val="none"/>
          </w:rPr>
          <w:t xml:space="preserve">частью 1.2 статьи 57.3</w:t>
        </w:r>
      </w:hyperlink>
      <w:r>
        <w:rPr>
          <w:b w:val="0"/>
          <w:bCs w:val="0"/>
          <w:highlight w:val="none"/>
        </w:rPr>
        <w:t xml:space="preserve"> Градостроительного кодекса РФ.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</w:rPr>
        <w:t xml:space="preserve">3</w:t>
      </w:r>
      <w:r>
        <w:rPr>
          <w:b/>
          <w:bCs/>
          <w:highlight w:val="none"/>
        </w:rPr>
        <w:t xml:space="preserve">.</w:t>
      </w:r>
      <w:r>
        <w:rPr>
          <w:b/>
          <w:bCs/>
          <w:highlight w:val="none"/>
        </w:rPr>
        <w:t xml:space="preserve"> </w:t>
      </w:r>
      <w:r>
        <w:rPr>
          <w:b/>
          <w:bCs/>
          <w:highlight w:val="none"/>
        </w:rPr>
      </w:r>
      <w:hyperlink r:id="rId16" w:tooltip="https://www.consultant.ru/document/cons_doc_LAW_533691/" w:history="1">
        <w:r>
          <w:rPr>
            <w:b/>
            <w:bCs/>
            <w:highlight w:val="none"/>
          </w:rPr>
          <w:t xml:space="preserve">Приказ Росреестра от 25.02.2026 № П/0101/26 «Об утверждении порядка взимания и возврата платы за предоставление сведений, содержащихся в Едином государственном реестре недвижимости, и иной информации»</w:t>
        </w:r>
        <w:r>
          <w:rPr>
            <w:b/>
            <w:bCs/>
            <w:highlight w:val="none"/>
          </w:rPr>
        </w:r>
      </w:hyperlink>
      <w:r>
        <w:rPr>
          <w:b/>
          <w:bCs/>
          <w:highlight w:val="none"/>
        </w:rPr>
        <w:t xml:space="preserve">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</w:r>
      <w:r>
        <w:rPr>
          <w:b w:val="0"/>
          <w:bCs w:val="0"/>
          <w:highlight w:val="none"/>
        </w:rPr>
        <w:t xml:space="preserve">Обновлен порядок взимания платы за предоставление сведений, содержащихся в Едином государственном реестре недвижимости (ЕГРН)</w:t>
      </w:r>
      <w:r>
        <w:rPr>
          <w:b w:val="0"/>
          <w:bCs w:val="0"/>
          <w:highlight w:val="none"/>
        </w:rPr>
        <w:t xml:space="preserve">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Внесение платы осуществляется, как и ранее, после подачи заявителем запроса в Роскадастр и получения уникального идентификатора начисления.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Установлено исключение в части предоставления аналитической информации, а также определен порядок представления документа, подтверждающего наличие у заявителя льготы.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Кроме того, установлены требования, касающиеся направления заявления о возврате внесенной платы.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709"/>
        <w:spacing w:after="180"/>
        <w:shd w:val="clear" w:color="ffffff" w:fill="ffffff"/>
        <w:rPr>
          <w:b w:val="0"/>
          <w:bCs w:val="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highlight w:val="none"/>
        </w:rPr>
        <w:t xml:space="preserve">Признан утратившим силу Приказ Федеральной службы государственной регистрации, кадастра и картографии от 13 мая 2020 г. № П/0144.</w:t>
      </w:r>
      <w:r>
        <w:rPr>
          <w:b w:val="0"/>
          <w:bCs w:val="0"/>
          <w:highlight w:val="none"/>
          <w14:ligatures w14:val="none"/>
        </w:rPr>
      </w:r>
      <w:r>
        <w:rPr>
          <w:b w:val="0"/>
          <w:bCs w:val="0"/>
          <w:highlight w:val="none"/>
          <w14:ligatures w14:val="none"/>
        </w:rPr>
      </w:r>
    </w:p>
    <w:p>
      <w:pPr>
        <w:contextualSpacing/>
        <w:ind w:left="0" w:right="0" w:firstLine="0"/>
        <w:spacing w:after="180"/>
        <w:shd w:val="clear" w:color="ffffff" w:fill="ffffff"/>
        <w:rPr>
          <w:b/>
          <w:bCs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</w:p>
    <w:p>
      <w:pPr>
        <w:jc w:val="both"/>
        <w:rPr>
          <w:b w:val="0"/>
          <w:bCs w:val="0"/>
          <w14:ligatures w14:val="none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 w:val="0"/>
          <w:bCs w:val="0"/>
        </w:rPr>
      </w:r>
      <w:r>
        <w:rPr>
          <w:b w:val="0"/>
          <w:bCs w:val="0"/>
          <w14:ligatures w14:val="none"/>
        </w:rPr>
      </w:r>
      <w:r>
        <w:rPr>
          <w:b w:val="0"/>
          <w:bCs w:val="0"/>
          <w14:ligatures w14:val="none"/>
        </w:rPr>
      </w:r>
    </w:p>
    <w:p>
      <w:pPr>
        <w:spacing w:line="240" w:lineRule="auto"/>
        <w:rPr>
          <w:b w:val="0"/>
          <w:bCs w:val="0"/>
          <w:color w:val="00000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292c2f"/>
          <w:highlight w:val="none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  <w:r>
        <w:rPr>
          <w:b w:val="0"/>
          <w:bCs w:val="0"/>
          <w:color w:val="000000"/>
          <w:lang w:eastAsia="ru-RU"/>
          <w14:ligatures w14:val="none"/>
        </w:rPr>
      </w:r>
    </w:p>
    <w:p>
      <w:pPr>
        <w:pStyle w:val="994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нформационные письма и разъяснения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 сфере государственного кадастрового учета и (или) государственной регистрации пр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ав, материалы судебной практики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94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pStyle w:val="994"/>
        <w:ind w:left="1069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П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ис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ьмо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осре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ест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а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от 15.04.2026 N 14-02228/26 о присвоении адреса объекту недвижимости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highlight w:val="none"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pStyle w:val="1028"/>
        <w:jc w:val="center"/>
      </w:pPr>
      <w:r>
        <w:rPr>
          <w:sz w:val="24"/>
        </w:rPr>
        <w:t xml:space="preserve">ФЕДЕРАЛЬНАЯ СЛУЖБА ГОСУДАРСТВЕННОЙ РЕГИСТРАЦИИ,</w:t>
      </w:r>
      <w:r/>
    </w:p>
    <w:p>
      <w:pPr>
        <w:pStyle w:val="1028"/>
        <w:jc w:val="center"/>
      </w:pPr>
      <w:r>
        <w:rPr>
          <w:sz w:val="24"/>
        </w:rPr>
        <w:t xml:space="preserve">КАДАСТРА И КАРТОГРАФИИ</w:t>
      </w:r>
      <w:r/>
    </w:p>
    <w:p>
      <w:pPr>
        <w:pStyle w:val="1028"/>
        <w:jc w:val="center"/>
      </w:pPr>
      <w:r>
        <w:rPr>
          <w:sz w:val="24"/>
        </w:rPr>
      </w:r>
      <w:r/>
    </w:p>
    <w:p>
      <w:pPr>
        <w:pStyle w:val="1028"/>
        <w:jc w:val="center"/>
      </w:pPr>
      <w:r>
        <w:rPr>
          <w:sz w:val="24"/>
        </w:rPr>
        <w:t xml:space="preserve">ПИСЬМО</w:t>
      </w:r>
      <w:r/>
    </w:p>
    <w:p>
      <w:pPr>
        <w:pStyle w:val="1028"/>
        <w:jc w:val="center"/>
      </w:pPr>
      <w:r>
        <w:rPr>
          <w:sz w:val="24"/>
        </w:rPr>
        <w:t xml:space="preserve">от 15 апреля 2026 г. N 14-02228/26</w:t>
      </w:r>
      <w:r/>
    </w:p>
    <w:p>
      <w:pPr>
        <w:pStyle w:val="994"/>
        <w:ind w:firstLine="540"/>
        <w:jc w:val="both"/>
      </w:pPr>
      <w:r>
        <w:rPr>
          <w:sz w:val="24"/>
        </w:rPr>
      </w:r>
      <w:r/>
    </w:p>
    <w:p>
      <w:pPr>
        <w:pStyle w:val="994"/>
        <w:ind w:firstLine="540"/>
        <w:jc w:val="both"/>
      </w:pPr>
      <w:r>
        <w:rPr>
          <w:sz w:val="24"/>
        </w:rPr>
        <w:t xml:space="preserve">В Федеральной службе государственной регистрации, кадастра и картографии рассмотрено обращение, в связи с чем сообщаем.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Пунктом 7 части 1 статьи 26</w:t>
      </w:r>
      <w:r>
        <w:rPr>
          <w:sz w:val="24"/>
        </w:rPr>
        <w:t xml:space="preserve"> Феде</w:t>
      </w:r>
      <w:r>
        <w:rPr>
          <w:sz w:val="24"/>
        </w:rPr>
        <w:t xml:space="preserve">рального закона от 13.07.2015 N 218-ФЗ "О государственной регистрации недвижимости" (далее - Закон N 218-ФЗ) установлено, что осуществление государственного кадастрового учета и (или) государственной регистрации прав приостанавливается по решению государст</w:t>
      </w:r>
      <w:r>
        <w:rPr>
          <w:sz w:val="24"/>
        </w:rPr>
        <w:t xml:space="preserve">венного регистратора прав в случае, если форма и (или) содержание документа, представленного для осуществления государственного кадастрового учета и (или) государственной регистрации прав, не соответствуют требованиям законодательства Российской Федерации.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Согласно положениям </w:t>
      </w:r>
      <w:r>
        <w:rPr>
          <w:sz w:val="24"/>
        </w:rPr>
        <w:t xml:space="preserve">пункта 50</w:t>
      </w:r>
      <w:r>
        <w:rPr>
          <w:sz w:val="24"/>
        </w:rPr>
        <w:t xml:space="preserve"> Требований к подготовке межевого плана и состава содержащихся в нем сведений, утвержденных приказом Росреестра от 14.12.2021 N П/0592, </w:t>
      </w:r>
      <w:r>
        <w:rPr>
          <w:sz w:val="24"/>
        </w:rPr>
        <w:t xml:space="preserve">пункта 51</w:t>
      </w:r>
      <w:r>
        <w:rPr>
          <w:sz w:val="24"/>
        </w:rPr>
        <w:t xml:space="preserve"> Требований к подготовке технического плана и состава содержащихся в нем сведений, утвержденных приказом Росреестра от 15.03.2022 N П/0082: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 случае, если объект недвижимости является объектом адресации, в межевом, техническом плане должен быть указан уникальный номер адреса объекта адресации в государственном адресном реестре (присвоенный уполномоченным органом в том чис</w:t>
      </w:r>
      <w:r>
        <w:rPr>
          <w:sz w:val="24"/>
        </w:rPr>
        <w:t xml:space="preserve">ле на основании обращения кадастрового инженера) либо адрес объекта недвижимости на основании акта органа государственной власти или органа местного самоуправления, уполномоченных на присвоение адресов объектам недвижимости, принятого до вступления в силу </w:t>
      </w:r>
      <w:r>
        <w:rPr>
          <w:sz w:val="24"/>
        </w:rPr>
        <w:t xml:space="preserve">постановления</w:t>
      </w:r>
      <w:r>
        <w:rPr>
          <w:sz w:val="24"/>
        </w:rPr>
        <w:t xml:space="preserve"> Правительства Российской Федерации от 19.11.2014 N 1221 </w:t>
      </w:r>
      <w:r>
        <w:rPr>
          <w:sz w:val="24"/>
        </w:rPr>
        <w:t xml:space="preserve">"Об утверждении Правил присвоения, изменения и аннулирования адресов" (далее соответственно - Постановление N 1221, Правила присвоения, изменения и аннулирования адресов) (в случае отсутствия в государственном адресном реестре адреса объекта недвижимости);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сведения об ином месте нахождения объекта недвижимости в объеме сведений, предусмотренных вышеуказанными пунктами, могут быть указаны в случае, если такой объект не является объектом адресации.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Соответственно, отсутствие в техническом плане, подготовленного в отношении объекта недвижимости, являющегося объектом адресации, сведений об адресе является основанием для приостановления учетно-регистрационных действий в соответствии с </w:t>
      </w:r>
      <w:r>
        <w:rPr>
          <w:sz w:val="24"/>
        </w:rPr>
        <w:t xml:space="preserve">пунктом 7 части 1 статьи 26</w:t>
      </w:r>
      <w:r>
        <w:rPr>
          <w:sz w:val="24"/>
        </w:rPr>
        <w:t xml:space="preserve"> Закона N 218-ФЗ.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Учитывая, что на основании </w:t>
      </w:r>
      <w:r>
        <w:rPr>
          <w:sz w:val="24"/>
        </w:rPr>
        <w:t xml:space="preserve">пункта 2</w:t>
      </w:r>
      <w:r>
        <w:rPr>
          <w:sz w:val="24"/>
        </w:rPr>
        <w:t xml:space="preserve"> Постановления N 1221 разъяснения по вопросам применения </w:t>
      </w:r>
      <w:r>
        <w:rPr>
          <w:sz w:val="24"/>
        </w:rPr>
        <w:t xml:space="preserve">Правил</w:t>
      </w:r>
      <w:r>
        <w:rPr>
          <w:sz w:val="24"/>
        </w:rPr>
        <w:t xml:space="preserve"> присвоения, изменения и аннулирования адресов дает Министерство финансов Российской Федерации с участием Федеральной налоговой службы, сообщаем, что Минфин России в письме, направленном в Росреестр, сообщил следующее.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Согласно </w:t>
      </w:r>
      <w:r>
        <w:rPr>
          <w:sz w:val="24"/>
        </w:rPr>
        <w:t xml:space="preserve">пункту 8</w:t>
      </w:r>
      <w:r>
        <w:rPr>
          <w:sz w:val="24"/>
        </w:rPr>
        <w:t xml:space="preserve"> Правил присвоения, изменения и аннулирования адресов присвоение объекту адресации адреса осуществляется: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а) в отношении земельных участков в случаях: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подготовки документации по планировке территории в отношении застроенной и подлежащей застройке территории в соответствии с Градостроительным </w:t>
      </w:r>
      <w:r>
        <w:rPr>
          <w:sz w:val="24"/>
        </w:rPr>
        <w:t xml:space="preserve">кодексом</w:t>
      </w:r>
      <w:r>
        <w:rPr>
          <w:sz w:val="24"/>
        </w:rPr>
        <w:t xml:space="preserve"> Российской Федерации (далее - ГрК);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выполнения в отношении земельного участка в соответствии с требованиями, установленными Федеральным </w:t>
      </w:r>
      <w:r>
        <w:rPr>
          <w:sz w:val="24"/>
        </w:rPr>
        <w:t xml:space="preserve">законом</w:t>
      </w:r>
      <w:r>
        <w:rPr>
          <w:sz w:val="24"/>
        </w:rPr>
        <w:t xml:space="preserve"> от 24.07.2007 N 221-ФЗ "О кадастровой деятельности" (далее - Закон N 22</w:t>
      </w:r>
      <w:r>
        <w:rPr>
          <w:sz w:val="24"/>
        </w:rPr>
        <w:t xml:space="preserve">1-ФЗ),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б) в отношении зданий (строений), сооружений, в том числе строительство которых не завершено, в случаях: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выдачи (получения) разрешения на строительство или направления уведомления о соответствии указанных в</w:t>
      </w:r>
      <w:r>
        <w:rPr>
          <w:sz w:val="24"/>
        </w:rPr>
        <w:t xml:space="preserve">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выполнения в отношении объекта недвижимости в соответствии с требованиями, установленными </w:t>
      </w:r>
      <w:r>
        <w:rPr>
          <w:sz w:val="24"/>
        </w:rPr>
        <w:t xml:space="preserve">Законом</w:t>
      </w:r>
      <w:r>
        <w:rPr>
          <w:sz w:val="24"/>
        </w:rPr>
        <w:t xml:space="preserve"> N 221-ФЗ, работ, в резу</w:t>
      </w:r>
      <w:r>
        <w:rPr>
          <w:sz w:val="24"/>
        </w:rPr>
        <w:t xml:space="preserve">льтате которых обеспечивается подготовка документов, содержащих необходимые для осуществления государственного кадастрового учета сведения о таком объекте недвижимости, при его постановке на государственный кадастровый учет (в случае если в соответствии с </w:t>
      </w:r>
      <w:r>
        <w:rPr>
          <w:sz w:val="24"/>
        </w:rPr>
        <w:t xml:space="preserve">ГрК</w:t>
      </w:r>
      <w:r>
        <w:rPr>
          <w:sz w:val="24"/>
        </w:rPr>
        <w:t xml:space="preserve"> для строительства или реконструкции объекта недвижимости получение разрешения на строительство не требуется);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в) в отношении помещений в случаях: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подготовки и оформления в установленном Жилищным </w:t>
      </w:r>
      <w:r>
        <w:rPr>
          <w:sz w:val="24"/>
        </w:rPr>
        <w:t xml:space="preserve">кодексом</w:t>
      </w:r>
      <w:r>
        <w:rPr>
          <w:sz w:val="24"/>
        </w:rPr>
        <w:t xml:space="preserve">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подготовки и оформления в отношении помещения, являющегося о</w:t>
      </w:r>
      <w:r>
        <w:rPr>
          <w:sz w:val="24"/>
        </w:rPr>
        <w:t xml:space="preserve">бъектом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помещении;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г) в отношении машино-мест в случае подготовки и оформления в отношении машино-места, являющегося объе</w:t>
      </w:r>
      <w:r>
        <w:rPr>
          <w:sz w:val="24"/>
        </w:rPr>
        <w:t xml:space="preserve">ктом недвижимости, в том числе образуемого в результате преобразования другого помещения (помещений) и (или) машино-места (машино-мест), документов, содержащих необходимые для осуществления государственного кадастрового учета сведения о таком машино-месте;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д) в отношении объектов адресации, государственный кадастровый учет которых осуществлен в соответствии с </w:t>
      </w:r>
      <w:r>
        <w:rPr>
          <w:sz w:val="24"/>
        </w:rPr>
        <w:t xml:space="preserve">Законом</w:t>
      </w:r>
      <w:r>
        <w:rPr>
          <w:sz w:val="24"/>
        </w:rPr>
        <w:t xml:space="preserve"> N 218-ФЗ, в случае отсутстви</w:t>
      </w:r>
      <w:r>
        <w:rPr>
          <w:sz w:val="24"/>
        </w:rPr>
        <w:t xml:space="preserve">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сооружение, помещение, машино-место.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Пунктом 21</w:t>
      </w:r>
      <w:r>
        <w:rPr>
          <w:sz w:val="24"/>
        </w:rPr>
        <w:t xml:space="preserve"> Правил присвоения, изменения и аннулирования адресов в свою очередь установлено, что решение уполномоченного органа о присвоении объекту адресации адреса принимается одновременно: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а) с утверждением уполномоченным органом схемы расположения земельного участка, являющегося объектом адресации, на кадастровом плане или кадастровой карте соответствующей территории;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б) с заключением уполномоченным органом соглашения о перераспределении земельных участков, являющихся объектами адресации, в соответствии с Земельным </w:t>
      </w:r>
      <w:r>
        <w:rPr>
          <w:sz w:val="24"/>
        </w:rPr>
        <w:t xml:space="preserve">кодексом</w:t>
      </w:r>
      <w:r>
        <w:rPr>
          <w:sz w:val="24"/>
        </w:rPr>
        <w:t xml:space="preserve"> Российской Федерации;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в) с заключением уполномоченным органом договора о комплексном развитии территории в соответствии с </w:t>
      </w:r>
      <w:r>
        <w:rPr>
          <w:sz w:val="24"/>
        </w:rPr>
        <w:t xml:space="preserve">ГрК</w:t>
      </w:r>
      <w:r>
        <w:rPr>
          <w:sz w:val="24"/>
        </w:rPr>
        <w:t xml:space="preserve">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г) с утверждением проекта планировки территории;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д) с принятием решения о строительстве объекта адресации;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е) с выполнением комплексных кадастровых работ в отношении объектов недвижимости, являющихся объектом адр</w:t>
      </w:r>
      <w:r>
        <w:rPr>
          <w:sz w:val="24"/>
        </w:rPr>
        <w:t xml:space="preserve">есации, которым не присвоен адрес, в том числе земельных участков, сведения о местоположении границ которых уточняются, образуемых земельных участков, а также объекты недвижимости, местоположение которых на земельном участке устанавливается или уточняется.</w:t>
      </w:r>
      <w:r/>
    </w:p>
    <w:p>
      <w:pPr>
        <w:pStyle w:val="994"/>
        <w:ind w:firstLine="540"/>
        <w:jc w:val="both"/>
        <w:spacing w:before="240"/>
      </w:pPr>
      <w:r>
        <w:rPr>
          <w:sz w:val="24"/>
        </w:rPr>
        <w:t xml:space="preserve">Таким образом, на момент подготовки технического плана объекту недвижимости уже должен быть присвоен адрес и его уникальный идентификатор.</w:t>
      </w:r>
      <w:r/>
    </w:p>
    <w:p>
      <w:pPr>
        <w:pStyle w:val="994"/>
        <w:jc w:val="center"/>
      </w:pPr>
      <w:r>
        <w:rPr>
          <w:sz w:val="24"/>
        </w:rPr>
      </w:r>
      <w:r/>
    </w:p>
    <w:p>
      <w:pPr>
        <w:pStyle w:val="994"/>
        <w:jc w:val="right"/>
      </w:pPr>
      <w:r>
        <w:rPr>
          <w:sz w:val="24"/>
        </w:rPr>
        <w:t xml:space="preserve">Начальник Управления</w:t>
      </w:r>
      <w:r/>
    </w:p>
    <w:p>
      <w:pPr>
        <w:pStyle w:val="994"/>
        <w:jc w:val="right"/>
      </w:pPr>
      <w:r>
        <w:rPr>
          <w:sz w:val="24"/>
        </w:rPr>
        <w:t xml:space="preserve">методического обеспечения</w:t>
      </w:r>
      <w:r/>
    </w:p>
    <w:p>
      <w:pPr>
        <w:pStyle w:val="994"/>
        <w:jc w:val="right"/>
      </w:pPr>
      <w:r>
        <w:rPr>
          <w:sz w:val="24"/>
        </w:rPr>
        <w:t xml:space="preserve">и анализа в сфере регистрации</w:t>
      </w:r>
      <w:r/>
    </w:p>
    <w:p>
      <w:pPr>
        <w:pStyle w:val="994"/>
        <w:jc w:val="right"/>
      </w:pPr>
      <w:r>
        <w:rPr>
          <w:sz w:val="24"/>
        </w:rPr>
        <w:t xml:space="preserve">прав и кадастрового учета</w:t>
      </w:r>
      <w:r/>
    </w:p>
    <w:p>
      <w:pPr>
        <w:pStyle w:val="994"/>
        <w:jc w:val="right"/>
      </w:pPr>
      <w:r>
        <w:rPr>
          <w:sz w:val="24"/>
        </w:rPr>
        <w:t xml:space="preserve">Ю.В.КУНИЦЫНА</w:t>
      </w:r>
      <w:r/>
    </w:p>
    <w:p>
      <w:pPr>
        <w:pStyle w:val="994"/>
        <w:jc w:val="both"/>
      </w:pPr>
      <w:r>
        <w:rPr>
          <w:sz w:val="24"/>
        </w:rPr>
      </w:r>
      <w:r/>
    </w:p>
    <w:p>
      <w:pPr>
        <w:pStyle w:val="994"/>
        <w:jc w:val="both"/>
      </w:pPr>
      <w:r>
        <w:rPr>
          <w:sz w:val="24"/>
        </w:rPr>
      </w:r>
      <w:r/>
    </w:p>
    <w:p>
      <w:pPr>
        <w:pStyle w:val="994"/>
        <w:jc w:val="both"/>
        <w:spacing w:before="100" w:after="100"/>
        <w:rPr>
          <w:sz w:val="2"/>
          <w:szCs w:val="2"/>
        </w:rPr>
        <w:pBdr>
          <w:bottom w:val="single" w:color="000000" w:sz="6" w:space="0"/>
        </w:pBd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0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2.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П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ис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ьмо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осре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ест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а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от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29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.04.2026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№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18-4658-ЛЛ/26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о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проведении правовой экспертизы межевых планов, подготовленных в связи с исправлением реестровых ошибок. </w:t>
      </w: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3297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3" cy="840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82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74041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3" cy="840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61.64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left="0" w:right="0" w:firstLine="708"/>
        <w:jc w:val="both"/>
        <w:spacing w:before="0" w:after="0" w:line="288" w:lineRule="atLeast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4407" cy="813970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47109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5754405" cy="81396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3.10pt;height:640.9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firstLine="0"/>
        <w:jc w:val="both"/>
        <w:rPr>
          <w:rFonts w:eastAsia="Times New Roman"/>
          <w:b/>
          <w:bCs/>
          <w:highlight w:val="none"/>
          <w:lang w:eastAsia="ru-RU"/>
          <w14:ligatures w14:val="none"/>
        </w:rPr>
      </w:pPr>
      <w:r>
        <w:rPr>
          <w:rFonts w:eastAsia="Times New Roman"/>
          <w:b/>
          <w:bCs/>
          <w:shd w:val="clear" w:color="auto" w:fill="ffffff"/>
          <w:lang w:eastAsia="ru-RU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0"/>
        <w:spacing w:line="240" w:lineRule="auto"/>
        <w:rPr>
          <w:b/>
          <w:bCs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  <w:r>
        <w:rPr>
          <w:b/>
          <w:bCs/>
          <w:color w:val="000000"/>
          <w14:ligatures w14:val="none"/>
        </w:rPr>
      </w:r>
    </w:p>
    <w:p>
      <w:pPr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pPr>
      <w:r>
        <w:rPr>
          <w:rStyle w:val="999"/>
          <w:rFonts w:ascii="Times New Roman" w:hAnsi="Times New Roman" w:cs="Times New Roman"/>
          <w:b/>
          <w:i/>
          <w:sz w:val="28"/>
          <w:szCs w:val="28"/>
        </w:rPr>
        <w:t xml:space="preserve">Новости информационных сайтов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Минэкономразвития России</w:t>
      </w:r>
      <w:r>
        <w:rPr>
          <w:rStyle w:val="999"/>
          <w:rFonts w:ascii="Times New Roman" w:hAnsi="Times New Roman" w:cs="Times New Roman"/>
          <w:b/>
          <w:i/>
          <w:sz w:val="28"/>
          <w:szCs w:val="28"/>
        </w:rPr>
        <w:t xml:space="preserve">, Росреестра и Управления Росреестра по Новосибирской области</w:t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i/>
          <w:sz w:val="28"/>
          <w:szCs w:val="28"/>
          <w:highlight w:val="none"/>
          <w14:ligatures w14:val="none"/>
        </w:rPr>
      </w:r>
    </w:p>
    <w:p>
      <w:pPr>
        <w:jc w:val="both"/>
        <w:rPr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14:ligatures w14:val="none"/>
        </w:rPr>
      </w:r>
      <w:r>
        <w:rPr>
          <w:b/>
          <w:bCs/>
          <w14:ligatures w14:val="none"/>
        </w:rPr>
      </w:r>
      <w:r>
        <w:rPr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1.</w:t>
      </w:r>
      <w:r>
        <w:rPr>
          <w:b/>
          <w:bCs/>
          <w:highlight w:val="none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Росреестр завершит интеграцию региональных информационных систем с НСПД до конца 2026 г.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Руководитель Росреестра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Олег Скуфинский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заявил о планах завершить интеграцию Единой цифровой платформы «Национальная система пространственных данных» (НСПД) с региональными информационными системами во всех 89 субъектах страны до конца 2026 года, что на 4 года опережает сроки, установленные гос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ударственной программой «НСПД».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Данные вопросы обсуждались в ходе двух заседаний межведомственной рабочей группы по развитию НСПД с участием федеральных и региональных органов власти.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«Руководством страны поставлены задачи по оптимизации технологических процессов и роста производительности труда, в том числе за счет внедрения технологий искусственного интеллекта. Это требует от нас опережающих темпов внедрения Единой цифровой платформы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НСПД. Важно пересмотреть процессы, связанные с реализацией НСПД, и ускорить интеграцию федеральных и региональных информационных систем с платформой. Таким образом, мы планируем завершить эту работу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89 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регионах страны до конца 2026 года и приступить к оказанию государственных и муниципальных услуг с помощью НСПД во всех субъектах Российской Федерации»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- подчеркнул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Олег Скуфинский.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Он добавил, что особое внимание необходимо уделить актуализации и верификации данных НСПД, а также обучению региональных управленческих команд работе с платформой. Это важно для пространственного развития регионов, повышения их инвестиционной привлекательн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ости.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настоящее время обеспечено взаимодействие НСПД с информационными системами (ИС)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64 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регионов. С 1 января 2026 года на базе НСПД проводится государственная кадастровая оценка земельных участков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85 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субъектах РФ, сообщил заместитель руководителя Росреестра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Максим Смирнов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Начальник управления развития НСПД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Сергей Щеглов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проинформировал,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что количество зарегистрированных пользователей платформы составляет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855 тыс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., из них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567 тыс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– граждане,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210 тыс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– юридические лица,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78 тыс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- представители уполномоченных органов. Планируется, что к концу 2026 года общее количество пользователей достигнет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1,2 млн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Как сообщил советник генерального директора ППК «Роскадастр»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Дмитрий Ферапонтов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определен перечень из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12 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услуг, которые касаются предоставления земельных участков, установления сервитутов, перевода земель в другую категорию. В планах до конца 2026 года – реализовать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89 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субъектах мероприятия по внесению изменений в административные регламенты предоставления государственных и муниципальных услуг, что обеспечит возможность использования НСПД и повысит эффективность работы сотрудников уполномоченных органов.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Министр земельных и имущественных отношений Республики Мордовия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Андрей Мищенко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представил доклад об итогах четырёхлетнего участия региона в госпрограмме НСПД. Достигнут значительный прогресс в сфере управления земельными и имущественными ресурсами. За время участия в проекте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92%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территориальных зон в республике поставлено на кадастровый учёт (против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 2022 году),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100%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границ населённых пунктов внесено в ЕГРН (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+67%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сравнении с 2022 годом). Рост поступлений по земельному налогу увеличился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1,5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раза, жалобы по имущественным вопросам сократились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3-5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раз.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Кроме того, участники межведомственной рабочей группы обсудили взаимодействие НСПД с информационными системами федеральных органов власти. Новый функционал позволяет сократить сроки инвестиционно-строительного цикла и принятия управленческих решений, форми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рует единую версию карты и пространственных данных для всех участников, дает возможность получения аналитических данных с применением ИИ.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Количество пользователей платформы от федеральных органов власти выросло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1,5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раза по сравнению с аналогичным периодом 2025 года – до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14,7 тыс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Сейчас в НСПД интегрированы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29 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информационных систем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23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ФОИВ. Картографический компонент встроен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12 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федеральных ИС, еще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4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ИС его тестируют. Это позволяет работать с данными платформы и картографическими подложками напрямую из своих систем и проводить пространственный анализ.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Заместитель директора филиала ППК «Роскадастр» ЦИТ «Роскадастр - Инфотех»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Василий Баландин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представил лучшие практики использования карткомпонента НСПД. С его помощью Минэкономразвития России автоматизирует процесс согласования генеральных планов муниципальных образований, Минцифры России дополняет возможности ЕПГУ работой с картой в рамках раз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личных жизненных ситуаций, Росимущество и Рослесхоз обеспечивают внутренние процессы возможностью обработки пространственных данных и картографических основ НСПД.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рамках пилотного проекта по созданию Единой системы классификации и кодирования (ЕСКК) совместно с федеральными органами власти разработаны классификаторы по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3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тематическим областям - транспорт, энергетика и здравоохранение. В этом году планируется масштабировать работу еще на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11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областей.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завершение обсуждения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Олег Скуфинский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поблагодарил участников за эффективн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ое взаимодействие, отметив важность продолжения совместной работы для выполнения всех обозначенных планов и задач.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/>
          <w:bCs/>
          <w:color w:val="000000" w:themeColor="text1"/>
          <w14:ligatures w14:val="none"/>
        </w:rPr>
        <w:t xml:space="preserve">2.</w:t>
      </w:r>
      <w:r>
        <w:rPr>
          <w:b/>
          <w:bCs/>
          <w:highlight w:val="none"/>
        </w:rPr>
        <w:t xml:space="preserve">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Росреестр подготовил методичку для граждан о реализации «Дачной амнистии 2.0».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помощь гражданам Росреестр подготовил </w:t>
      </w:r>
      <w:hyperlink r:id="rId20" w:tooltip="https://rosreestr.gov.ru/upload/Doc/press/%D0%94%D0%90%D0%A7%D0%9D%D0%90%D0%AF%20%D0%90%D0%9C%D0%9D%D0%98%D0%A1%D0%A2%D0%98%D0%AF%202.0_%D0%A3-11-%20271125.pdf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методические рекомендации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о реализации «Дачной амнистии 2.0». Механизм поможет в упрощенном порядке зарегистрировать права на жилой дом, возведенный до 14 мая 1998 года (до вступления в силу Градостроительного кодекса РФ), а также на участок, на котором он расположен.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«С 2006 года действует «Дачная амнистия», а с 2022 года - «Дачная амнистия 2.0». Данный механизм регламентирован Законом № 137-ФЗ от 25.10.2001 и решает многолетнюю проблему граждан, связанную с невозможностью легализации своего жилья, возведенного до 14 м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ая 1998 года для постоянного проживания. Граждане могут оформить свои жилые дома и получить бесплатно расположенные под ними земельные участки без необходимости обращения в судебные инстанции. «Дачная амнистия 2.0» позволяет подтвердить право собственности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даже в случае, если у гражданина нет на руках всех правоустанавливающих документов», -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сообщил статс-секретарь - заместитель руководителя Росреестра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Алексей Бутовецкий.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Он также отметил, что механизм позволяет наследникам оформить права на недвижимость, которая ранее была в пользовании у умершего владельца (в том числе если право наследодателя на дом не было зарегистрировано в установленном порядке). 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Чтобы оформить дом по «Дачной амнистии 2.0», объект не должен быть признан самовольной постройкой по решению суда или органа местного самоуправления. Дом и земельный участок должны располагаться в границах населенного пункта.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Также нужны документы, подтверждающие факт проживания в доме до 14 мая 1998 года: например, о подключении объекта к инженерным сетям, оплате коммунальных услуг, о наследстве и др. В случае их отсутствия органы власти наделены полномочиями по определению др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угих документов, которые являются основанием для оформления прав на жилой дом по «Дачной амнистии 2.0».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методичке дана подробная инструкция, что необходимо сделать для оформления жилого дома и земельного участка.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После завершения необходимых процедур уполномоченный орган власти подает в Росреестр заявление о кадастровом учете жилого дома, а также о регистрации права собственности на него и на земельный участок. В результате заявитель получает выписки из Единого гос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ударственного реестра недвижимости, которые подтверждают право собственности на данные объекты.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Отметим, что «Дачная амнистия 2.0» действует до 1 марта 2031 года. Особенностью реализации этого механизма в воссоединенных регионах является т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о, что жилой дом должен быть возведен до 4 октября 2022 года (до вступления в силу федеральных конституционных за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конов о принятии новых субъектов в Российскую Федерацию).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 методическими рекомендациями можно ознакомиться </w:t>
      </w:r>
      <w:hyperlink r:id="rId21" w:tooltip="https://rosreestr.gov.ru/upload/Doc/press/%D0%94%D0%90%D0%A7%D0%9D%D0%90%D0%AF%20%D0%90%D0%9C%D0%9D%D0%98%D0%A1%D0%A2%D0%98%D0%AF%202.0_%D0%A3-11-%20271125.pdf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по ссылке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https://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rosreestr.gov.ru/upload/Doc/press/ДАЧНАЯ%20АМНИСТИЯ%202.0_У-11-%20271125.pdf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3.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Росреестр дал разъяснения в связи с новыми схемами мошенничества с загородными участками.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Росреестр дал официальные разъяснения в связи с новыми случаями мошенничества в отношении владельцев загородных участков.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Как ранее сообщил ряд СМИ, аферисты рассылают дачникам фейковые уведомления о выявленных нарушениях земельного законодательства и предлагают, перейдя по ссылке, оплатить штраф со скидкой. Затем применяется схема со взломом личного кабинета на портале Госус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луг.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«Единственным документом, на основании которого может и должен быть оплачен административный штраф за нарушение земельного законодательства, является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постановление о назначении административного наказания.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Оно должно быть подписано главным государственным инспектором региона (города или района) по использованию и охране земель или его заместителем и заверено печатью территориального органа Росреестра. Постановление правонарушителю вручается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лично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при рассмотрении административного дела, направляется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заказным письмом по почте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или в электронном виде в личный кабинет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 портале Госуслуг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Ни в коем случае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не переходите по подозрительным ссылкам в смс или в чатах в мессенджерах с угрозами штрафов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за нарушения на участках – по этим каналам постановления о назначении такого административного наказания не распространяются», -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сообщил заместитель руководителя Росреестра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Максим Смирнов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Он также отметил, что Росреестр привлекает к административной ответственности за нарушения земельного законодательства только по результатам контрольного (надзорного) мероприятия и составления протокола об административном правонарушении. При этом собствен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ник земельного участка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обязательном порядке уведомляется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территориальным органом Росреестра в бумажном виде заказным письмом по почте или в электронном виде в личный кабинет на Госуслугах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 времени и месте проведения такого мероприятия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а также о времени и месте составления протокола и рассмотрения дела об административном правонарушении.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Таким образом,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если у вас не было соответствующих официальных уведомлений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 проведении в отношении вашего участка контрольных (надзорных) мероприятий, и вы вдруг получили подозрительное сообщение с указанием на необходимость оплатить штраф,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имейте в виду, что это мошенники.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Важно! В случае сомнений в достоверности постановления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о назначении административного наказания (а также в случае его получения без предварительного уведомления о месте и времени составления протокола об административном правонарушении или без уведомления о месте и времени рассмотрения дела об административно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 правонарушении) гражданин всегда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может обратиться в территориальный орган Росреестра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при личном приёме, по телефону или в течение 10 дней направить жалобу в адрес территориального органа Службы, который вынес соответствующее постановление.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Адрес территориального органа указывается в постановлении о назначении административного наказания. Также адреса территориальных органов Росреестра указаны на сайте ведомства (</w:t>
      </w:r>
      <w:hyperlink r:id="rId22" w:tooltip="http://www.rosreestr.gov.ru%29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www.rosreestr.gov.ru)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Напоминаем, что информация о результатах проведения контрольного (надзорного) мероприятия размещается в едином реестре контрольных (надзорных) мероприятий (</w:t>
      </w:r>
      <w:hyperlink r:id="rId23" w:tooltip="http://www.proverki.gov.ru%29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www.proverki.gov.ru)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4.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15 лет Закону о лицензировании отдельных видов деятельности.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4 мая 2011 года был принят Федеральный закон № 99-ФЗ «О лицензировании отдельных видов деятельности».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Росреестр является уполномоченным органом в области лицензирования геодезической и картографической деятельности. Лицензирующий орган на территории Новос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ибирской области - Управление Росреестра по Новосибирской области.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65 юридических лиц и индивидуальных предпринимателей региона осуществляют лицензированную геодезическую и картографическую деятельность.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 15 лет государственная услуга по предоставлению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лицензии на осуществление геодезической и картографической деятельности значительно оптимизирована и автоматизирована.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Полностью исключена подача заявлений в бумажном виде. Заявления для получения лицензии, внесения изменений в реестр лицензий, прекращен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ия действия лицензии подаются исключительно через портал </w:t>
      </w:r>
      <w:hyperlink r:id="rId24" w:tooltip="https://www.gosuslugi.ru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Госуслуг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Соискатели лицензии и лицензиаты не предоставляют документы, а декларируют сведения. Лицензирующий орган самостоятельно получает необходимые сведения из информационных ресурсов и реестров других государственных органов.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Процедура предоставления лицензи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 стала в 9 раз быстрее и составляет 5 рабочих дней (вместо 45).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При проведении выездной оценки лицензирующий орган использует средства дистанционного взаимодействия, в том числе мобильное приложение «Инспектор».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Лицензии на бумажном носителе не выдаются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подтверждением предоставления лицензии, внесения изменений в реестр лицензий является запись в электронном реестре и выписка из реестра лицензий в электронном виде. Получение выписок из реестра лицензий осуществляется через портал Госуслуг. Срок предоста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вления сведений о конкретной лицензии составляет 1 рабочий день.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Перемены стали возможны благодаря применению современных методов и технологий.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5.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К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азаньФорум 2026: На сессии Росреестра обсудили значимость геоинформационных систем в управлении территориями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14 мая на площадке XVII Международного экономического форума «Россия – Исламский мир: КазаньФорум» Росреестр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провел сессию «Земля в цифре: геоинформационные системы и платформенные решения в управлении территориями России и стран Исламского мира». В ходе дискуссии российские и зарубежные эксперты обменялись опытом разработки геоинформационных систем в сфере земли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и недвижимости, а также обсудили перспективы взаимодействия в области пространственных данных со странами Исламского мира.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Заместитель руководителя Росреестра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Людмила Лилина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 своем выступлении отметила, что Россия – это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17 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млн кв. км территории. Чтобы эконом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ика развивалась, каждый квадратный метр земли и объект недвижимости должны быть учтены и зарегистрированы, а данные о них - быть точными и доступными. Сегодня Единый государственный реестр недвижимости (ЕГРН) является одн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ой из главных опор экономики, в нем уже содержится свыше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172 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млн объектов.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Она напомнила, что в 2020 году все регионы России были переведены на единое платформенное решение – Федеральную государственную информационную систему ведения ЕГРН, что позволило централизовать все базы данных по всей стране на единой геоплатформе.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«В результате все услуги Росреестра стали доступны в электронном виде и экстерриториально. При этом их количество выросло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4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раза – до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524 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млн. Сегодня мы работаем над выполнением поставленной Президентом РФ задачи по повышению капитализации территорий страны. Это позволит повысить инвестиционную привлекательность регионов и обеспечить их экономический рост. Главный инструмент капитализации –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государственная кадастровая оценка. Впервые с 2026 года оценка проходит на единой цифровой платформе «Национальная система пространственных данных». Сегодня в НСПД интегрированы данные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93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информационных систем из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64 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регионов, функционируют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26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сервисов, а количество слоев данных превысило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тыс. Ежемесячно фиксируется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5,5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млн посещений платформы, что на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млн больше, чем в прошлом году»,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сообщила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Людмила Лилина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Также она рассказала, что сегодня оформляются электронно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93%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ипотечных сделок, что в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10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раз превышает показатель 2020 года, а также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100%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договоров долевого участия в строительстве. Сведения из реестра теперь выдаются не за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3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дня, а онлайн - в режиме реального времени. Средний срок учета и регистрации прав составляет менее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дней – это один из лучших показателей в мире.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Ключевую роль сегодня также играет Единая федеральная сеть геодезических станций – сегодня к ФСГС подключено уже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2,7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тыс. дифференциальных геодезических станций по всей стране. До конца 2027 года планируется завершить создание Единой электронной картографической основы (ЕЭКО) на всю страну. Уже сегодня срок предоставления сведений ЕЭКО сокращен до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24 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часов.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рамках проекта «Полный и точный реестр» создана база для территориального планирования, пространственного развития и внедрения искусственного интеллекта. За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6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лет внесено около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94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тыс. административных границ и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372 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тыс. границ территориальных зон – это столько же, сколько за предыдущие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20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лет. Выявлены правообладатели или зарегистрированы ранее возникшие права на более чем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4,5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млн объектов без прав.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Помимо этого, Росреестр изучает международные практики и продолжает эффективное взаимодействие и обмен опытом с зарубежными коллегами, в том числе через созданный по поручению Президента РФ Геопортал инфраструктуры пространственных данных стран СНГ. Это пл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атформа, которая объединяет ключевые пространственные данные государств - участников СНГ и сервисы в сфере туризма, занятости, образования и инвестиций.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Более подробно о том, как работа НСПД влияет на экономический рост страны рассказала генеральный директор ППК «Роскадастр»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Татьяна Громова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«ППК «Роскадастр» работает совместно с регионами над повышением капитализации страны в рамках закона 344-ФЗ, который предполагает вовлечение земельных участков в экономический оборот и наполнение ЕГРН полными и точными данными. Уже заключены соглашения с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50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регионами и почти с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1000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муниципалитетами, в рамках которых Компания выполняет комплекс мероприятий по подготовке документов: образованию и перераспределению земельных участков, выявлению правообладателей объектов недвижимости с незарегистрированными правами, постановке на госуда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рственный кадастровый учет ранее учтенных объектов. Одним из основных инструментов проекта является ЕЦП НСПД и ее сервисы, такие как «Земля для стройки», «Земля просто», «Умный кадастр»,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сообщила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Татьяна Громова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Первый заместитель председателя Комитета Госдумы по строительству и ЖКХ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Владимир Кошелев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 своем выступлении рассказал о влиянии развития пространственных данных на снижение стоимости строительства зданий. Он также подчеркнул важность перехода от «учета недвижимости» к инфраструктуре пространственных данных реального времени, где каждый метр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земли и коммуникаций оцифрован и доступен.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Министр земельных и имущественных отношений Республики Татарстан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Фаниль Аглиуллин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сообщил, что в регионе реализуется единая государственная политика в области земельных и имущественных отношений. Ключевым направлением является внедрение цифровых технологий, в том числе в 2022 году Татарстан стал одним из пилотных регионов – участников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госпрограммы «НСПД». На сегодня обработано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99,9%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сведений о правах в отношении ранее учтенных объектов недвижимости, проведена полная оцифровка лесных насаждений республики.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Ректор Московского государственного университета геодезии и картографии (МИИГАиК)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Надежда Камынина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рассказала об осуществляемой непрерывной профессиональной подготовке сотрудников системы Росреестра по программам дополнительного профессионального образования сферы государственной регистрации недвижимости, землеустройства, геодезии, картографии и геоинф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ормационных технологий в условиях цифровой трансформации отрасли. На сегодняшний день уже более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10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тыс. специалистов прошли или проходят переподготовку на базе МИИГАиК. Также вуз выступает базовой организацией государств – участников СНГ по подготовке кадров в области геодезии, картографии и дистанционного зондирования Земли. Кроме того, она подчеркнул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а, что опыт Росреестра – один из уникальных кейсов, которые сегодня позволяют успешно капитализировать кадры, при этом выполняя все государственные задачи.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Кроме того, в онлайн-режиме в дискуссии приняли участие зарубежные спикеры. Директор ГУП «Аэрогеодезия Душанбе» Государственного комитета по земельному управлению и геодезии Республики Таджикистан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Фотех Курбонзода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рассказал о цифровой трансформации геопространственной отрасли в стране. Также он отметил, что таджикская сторона рассматривает Геопортал СНГ в качестве важной площадки для практического взаимодействия, обмена опытом и развития межгосударственного доступа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к пространственной информации. В этом году республика планирует предоставить соответствующие пространственные данные для Геопортала СНГ, сейчас ведется работа по их подготовке для размещения.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Директор Департамента землеустройства и единого государственного кадастра недвижимости публичного юридического лица «Государственный кадастр и реестр недвижимого имущества» Азербайджанской Республики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Эмиль Сафаров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представил информацию о создании в республике информационной системы государственного реестра и кадастра недвижимости. Он подчеркнул, что объединение карты, данных и документов в единую систему формирует основу для эффективного управления недвижимостью.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Также на сессии был представлен доклад помощника директора Центра геоинформационных систем при Министерстве муниципального развития Государства Катар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Амера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Аль-Хумаиди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 проекте «Цифровой двойник Катара» и его связи с искусственным интеллектом, суверенитете данных и их безопасности. Геопространственный цифровой двойник - это динамическая виртуальная модель города на основе ИИ, которая позволяет госорганам моделировать, 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тслеживать и обосновывать процесс принятия решений, используя прогнозную аналитику пространственных данных в режиме реального времени.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завершение дискуссии, модератором которой выступил проректор по внешним связям Казанского (Приволжского) федерального университета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Тимирхан Алишев,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эксперты сошлись во мнении, что необходимо продолжать совместную работу, в том числе в рамках зарубежного партнерства, по развитию и внедрению географических информационных систем. Они становятся основным инструментом для принятия управленческих решений 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влияют на повышение инвестиционной привлекательности территорий.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6.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Росреестр на ЦИПР-2026 представил инструменты повышения капитализации территории страны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lang w:eastAsia="ru-RU"/>
          <w14:ligatures w14:val="none"/>
        </w:rPr>
      </w:r>
      <w:r>
        <w:rPr>
          <w:rFonts w:eastAsia="Times New Roman"/>
          <w:b/>
          <w:bCs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З</w:t>
      </w:r>
      <w:r>
        <w:rPr>
          <w:rFonts w:eastAsia="Times New Roman"/>
          <w:b w:val="0"/>
          <w:bCs w:val="0"/>
          <w14:ligatures w14:val="none"/>
        </w:rPr>
        <w:t xml:space="preserve">аместитель руководителя Росреестра Максим Смирнов выступил на сессии XI Конференции «Цифровая индустрия промышленной России» (ЦИПР-2026) в Нижнем Новгороде. Он представил комплекс цифровых инструментов Росреестра, направленных на реализацию поручения Прези</w:t>
      </w:r>
      <w:r>
        <w:rPr>
          <w:rFonts w:eastAsia="Times New Roman"/>
          <w:b w:val="0"/>
          <w:bCs w:val="0"/>
          <w14:ligatures w14:val="none"/>
        </w:rPr>
        <w:t xml:space="preserve">дента РФ по повышению капитализации территории страны.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Р</w:t>
      </w:r>
      <w:r>
        <w:rPr>
          <w:rFonts w:eastAsia="Times New Roman"/>
          <w:b w:val="0"/>
          <w:bCs w:val="0"/>
          <w14:ligatures w14:val="none"/>
        </w:rPr>
        <w:t xml:space="preserve">осреестр осуществляет координацию этой работы. До 2030 года совместно с регионами предстоит за счет строительства новых объектов и вовлечения в оборот неучтенных добиться суммарной кадастровой стоимости территории страны в 1 квдрлн рублей, сформировать бан</w:t>
      </w:r>
      <w:r>
        <w:rPr>
          <w:rFonts w:eastAsia="Times New Roman"/>
          <w:b w:val="0"/>
          <w:bCs w:val="0"/>
          <w14:ligatures w14:val="none"/>
        </w:rPr>
        <w:t xml:space="preserve">к земли в объеме 500 тыс. га для достижения показателя национального проекта «Инфраструктура для жизни».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В рамках данной работы ведомство занимается выявлением правообладателей объектов недвижимости и помогает вовлекать земли в экономический оборот – за счет внедрения в регионах Единой цифровой платформы «Национальная система пространственных данных» (НСПД).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«</w:t>
      </w:r>
      <w:r>
        <w:rPr>
          <w:rFonts w:eastAsia="Times New Roman"/>
          <w:b w:val="0"/>
          <w:bCs w:val="0"/>
          <w14:ligatures w14:val="none"/>
        </w:rPr>
        <w:t xml:space="preserve">Одним из инструментов, доказавших свою эффективность, стал сервис «Умный кадастр» с применением технологий ИИ. На основе предобученных нейросетей он выявляет незарегистрированные объекты недвижимости. На сегодня в 79 регионах страны сервис выявил 8 млн объ</w:t>
      </w:r>
      <w:r>
        <w:rPr>
          <w:rFonts w:eastAsia="Times New Roman"/>
          <w:b w:val="0"/>
          <w:bCs w:val="0"/>
          <w14:ligatures w14:val="none"/>
        </w:rPr>
        <w:t xml:space="preserve">е</w:t>
      </w:r>
      <w:r>
        <w:rPr>
          <w:rFonts w:eastAsia="Times New Roman"/>
          <w:b w:val="0"/>
          <w:bCs w:val="0"/>
          <w14:ligatures w14:val="none"/>
        </w:rPr>
        <w:t xml:space="preserve">ктов, не поставленных на учет. Сервисы НСПД - «Земля для стройки» и «Земля для туризма» — удобные цифровые инструменты регионов для вовлечения земельных участков в оборот. Еще один инструмент – сервис «Земля просто», который позволяет самостоятельно беспла</w:t>
      </w:r>
      <w:r>
        <w:rPr>
          <w:rFonts w:eastAsia="Times New Roman"/>
          <w:b w:val="0"/>
          <w:bCs w:val="0"/>
          <w14:ligatures w14:val="none"/>
        </w:rPr>
        <w:t xml:space="preserve">тно сформировать схему земельного участка, не обращаясь к кадастровому инженеру», - сообщил Максим Смирнов, выступая на сессии «Цифровые инструменты госуправления. Стратегическое планирование социально-экономического развития региона».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Е</w:t>
      </w:r>
      <w:r>
        <w:rPr>
          <w:rFonts w:eastAsia="Times New Roman"/>
          <w:b w:val="0"/>
          <w:bCs w:val="0"/>
          <w14:ligatures w14:val="none"/>
        </w:rPr>
        <w:t xml:space="preserve">ще одним базовым инструментом повышения капитализации территории субъектов РФ заместитель руководителя Росреестра назвал точную и прозрачную кадастровую оценку. В этом году в отношении земельных участков она впервые проводится в единой цифровой среде - на </w:t>
      </w:r>
      <w:r>
        <w:rPr>
          <w:rFonts w:eastAsia="Times New Roman"/>
          <w:b w:val="0"/>
          <w:bCs w:val="0"/>
          <w14:ligatures w14:val="none"/>
        </w:rPr>
        <w:t xml:space="preserve">п</w:t>
      </w:r>
      <w:r>
        <w:rPr>
          <w:rFonts w:eastAsia="Times New Roman"/>
          <w:b w:val="0"/>
          <w:bCs w:val="0"/>
          <w14:ligatures w14:val="none"/>
        </w:rPr>
        <w:t xml:space="preserve">латформе НСПД. Это позволяет оценивать земельные участки по единой методологии, обеспечивая сопоставимость результатов по всей стране. В 2027 году на платформе НСПД будет проведена государственная кадастровая оценка зданий и сооружений. Для граждан и предс</w:t>
      </w:r>
      <w:r>
        <w:rPr>
          <w:rFonts w:eastAsia="Times New Roman"/>
          <w:b w:val="0"/>
          <w:bCs w:val="0"/>
          <w14:ligatures w14:val="none"/>
        </w:rPr>
        <w:t xml:space="preserve">тавителей бизнеса проведение кадастровой оценки с помощью НСПД обеспечит прозрачность и публичность процедур, для государства - актуализированную базу данных по экономике недвижимости.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М</w:t>
      </w:r>
      <w:r>
        <w:rPr>
          <w:rFonts w:eastAsia="Times New Roman"/>
          <w:b w:val="0"/>
          <w:bCs w:val="0"/>
          <w14:ligatures w14:val="none"/>
        </w:rPr>
        <w:t xml:space="preserve">аксим Смирнов также рассказал о внедрении платформы НСПД в регионах страны, в том числе для оказания государственных и муниципальных услуг. Инновационным и перспективным решением для органов власти любого уровня является использование картографического ком</w:t>
      </w:r>
      <w:r>
        <w:rPr>
          <w:rFonts w:eastAsia="Times New Roman"/>
          <w:b w:val="0"/>
          <w:bCs w:val="0"/>
          <w14:ligatures w14:val="none"/>
        </w:rPr>
        <w:t xml:space="preserve">п</w:t>
      </w:r>
      <w:r>
        <w:rPr>
          <w:rFonts w:eastAsia="Times New Roman"/>
          <w:b w:val="0"/>
          <w:bCs w:val="0"/>
          <w14:ligatures w14:val="none"/>
        </w:rPr>
        <w:t xml:space="preserve">онента НСПД. Сейчас он встроен в 18 информационных систем, среди которых как федеральные, так и региональные. Это позволит органам власти экономить до 2,5 млрд рублей при разработке и развитии собственных цифровых платформ, благодаря переиспользованию техн</w:t>
      </w:r>
      <w:r>
        <w:rPr>
          <w:rFonts w:eastAsia="Times New Roman"/>
          <w:b w:val="0"/>
          <w:bCs w:val="0"/>
          <w14:ligatures w14:val="none"/>
        </w:rPr>
        <w:t xml:space="preserve">ологий пространственного анализа и агрегированных пространственных данных, которые предоставляет НСПД.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У</w:t>
      </w:r>
      <w:r>
        <w:rPr>
          <w:rFonts w:eastAsia="Times New Roman"/>
          <w:b w:val="0"/>
          <w:bCs w:val="0"/>
          <w14:ligatures w14:val="none"/>
        </w:rPr>
        <w:t xml:space="preserve">частники сессии поделились практическим опытом ХМАО – Югры, Курганской, Ленинградской, Калужской областей и Пермского края по внедрению различных цифровых инструментов. В их числе - мониторинг движения медицинских кадров, экомониторинг, дашборды губернатор</w:t>
      </w:r>
      <w:r>
        <w:rPr>
          <w:rFonts w:eastAsia="Times New Roman"/>
          <w:b w:val="0"/>
          <w:bCs w:val="0"/>
          <w14:ligatures w14:val="none"/>
        </w:rPr>
        <w:t xml:space="preserve">а</w:t>
      </w:r>
      <w:r>
        <w:rPr>
          <w:rFonts w:eastAsia="Times New Roman"/>
          <w:b w:val="0"/>
          <w:bCs w:val="0"/>
          <w14:ligatures w14:val="none"/>
        </w:rPr>
        <w:t xml:space="preserve"> в сфере строительства и спортивной инфраструктуры, управление пиковым спросом номерного фонда и другие. Все эти инструменты позволяют выстраивать сквозную систему управления, обеспечивают прозрачность реализации проектов, помогают оперативно отслеживать д</w:t>
      </w:r>
      <w:r>
        <w:rPr>
          <w:rFonts w:eastAsia="Times New Roman"/>
          <w:b w:val="0"/>
          <w:bCs w:val="0"/>
          <w14:ligatures w14:val="none"/>
        </w:rPr>
        <w:t xml:space="preserve">остижение целей и синхронизировать приоритеты.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Кроме того, Максим Смирнов на ЦИПР-2026 принял участие в совещании Заместителя Председателя Правительства Дмитрия Григоренко с руководителями цифровой трансформации федерального и регионального уровней.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  <w:t xml:space="preserve">У</w:t>
      </w:r>
      <w:r>
        <w:rPr>
          <w:rFonts w:eastAsia="Times New Roman"/>
          <w:b w:val="0"/>
          <w:bCs w:val="0"/>
          <w14:ligatures w14:val="none"/>
        </w:rPr>
        <w:t xml:space="preserve">частником конференции также стал советник руководителя Росреестра Андрей Матвеенко. Он выступил с докладом на сессии «Применение решений ГосОблака по управлению инфраструктурой с подтвержденной эффективностью. От рекомендаций до тиража подходов и архитекту</w:t>
      </w:r>
      <w:r>
        <w:rPr>
          <w:rFonts w:eastAsia="Times New Roman"/>
          <w:b w:val="0"/>
          <w:bCs w:val="0"/>
          <w14:ligatures w14:val="none"/>
        </w:rPr>
        <w:t xml:space="preserve">ры».</w:t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7.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В Новосибирской области наблюдается рост электронной регистрации прав на недвижимость.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 итогам первых трех месяцев 2026 года 70% заявителей обратились за получением услуги по государственной регистрации недвижимости в режиме онлайн.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Более 60 тысяч обращений о государственной регистрации прав подано заявителями в электронном виде. Это на 1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1% выше показателя прошлого года за аналогичный период. Положительная динамика статистических данных свидетельствует о повышении доверия граждан к электронным услугам ведомства.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Средний срок регистрации прав по электронным заявлениям не превышает один раб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очий день: в I квартале 2026 года 98% обращений по  ипотеке рассмотрено в этот срок.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Новосибирский Росреестр обращает внимание на использование только  официальных источников для подачи документов в электронном виде: сайт Росреестра (</w:t>
      </w:r>
      <w:hyperlink r:id="rId25" w:tooltip="https://rosreestr.gov.ru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https://rosreestr.gov.ru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) – для физических и юридических лиц, портал государственных услуг Российской Федерации (</w:t>
      </w:r>
      <w:hyperlink r:id="rId26" w:tooltip="https://www.gosuslugi.ru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https://www.gosuslugi.ru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) – для физических лиц.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Актуальные новости об электронных услугах Росреестра читайте в официальном канале новосибирского Росреестра в мессенджере </w:t>
      </w:r>
      <w:hyperlink r:id="rId27" w:tooltip="https://max.ru/id5406299278_gos/AZ2T_XnPW-w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MAX</w:t>
        </w:r>
      </w:hyperlink>
      <w: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8.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Как не стать жертвой мошенников: советы новосибирского Росреестра.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Недвижимость относится к наиболее дорогостоящим видам имущества. Для многих граждан квартира является не просто имуществом, но и единственным жильем.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Чтобы защитить недвижимость от мошенников, собственникам рекомендуется соблюдать несколько прост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ых правил: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не рассказывать третьим лицам об имеющейся недвижимости;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не показывать посторонним людям документы на недвижимость и место их хранения;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никому не сообщать, в том числе по телефону, свои персональные данные и данные своего аккаунта 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 Госуслугах, а также содержание СМС-сообщений, поступающих с портала Госуслуг и от банков;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не рассказывать посторонним людям информацию о членах своей семьи или об отсутствии семьи, а также другую личную информацию;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регулярно менять пароль к своему акка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унту на Госуслугах;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не переходить по ссылкам, отправленным в сообщениях от незнакомых лиц;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проверять домен отправителя;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удалять подозрительные сообщения и вложения;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не перезванивать по номерам, указанным в подозрительных сообщениях;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при желании м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ожно подать заявление о внесении в Единый государственный реестр недвижимости (ЕГРН) запись о невозможности государственной регистрации без личного участия правообладателя. В случае подачи документов без личного участия собственника (по доверенности), они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будут возвращены без рассмотрения;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При покупке недвижимости рекомендуется: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попросить продавца предоставить подлинники правоустанавливающих документов и запросить выписку из ЕГРН об основных характеристиках и зарегистрированных правах.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При нали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чии расхождений в характеристиках объекта, сведениях о дате и (или) номере регистрации права либо документах-основаниях такой регистрации, указанных в выписке из ЕГРН и представленных для оформления сделки документах, следует попросить предоставить докумен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ты о причинах таких расхождений;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запросить выписку о переходе прав на объект недвижимости (если право продавца оформлено недавно). Покупателя должно насторожить, если объект неоднократно продавали, дарили в течение года или иного непродолжительного перио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да времени.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Проверить достоверность выписки из ЕГРН можно на официальном сайте Росреестра по указанному на выписке QR-коду. Для мобильного телефона необходимо установить сертификаты по ссылке </w:t>
      </w:r>
      <w:hyperlink r:id="rId28" w:tooltip="https://www.gosuslugi.ru/crt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https://www.gosuslugi.ru/crt</w:t>
        </w:r>
      </w:hyperlink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помощь гражданам Росреестр разработал методическое пособие о способах защиты недвижимости от мошенников,  которое периодически актуализируется. Ознакомиться с методичкой можно по ссылке </w:t>
      </w:r>
      <w:hyperlink r:id="rId29" w:tooltip="https://rosreestr.gov.ru/open-service/obzor-zakonov-o-nedvizhimosti/ca-250618-kak-zashchitit-nedvizhimost-ot-moshennikov/" w:history="1">
        <w:r>
          <w:rPr>
            <w:rFonts w:eastAsia="Times New Roman"/>
            <w:b w:val="0"/>
            <w:bCs w:val="0"/>
            <w:shd w:val="clear" w:color="auto" w:fill="ffffff"/>
            <w:lang w:eastAsia="ru-RU"/>
          </w:rPr>
          <w:t xml:space="preserve">https://rosreestr.gov.ru/open-service/obzor-zakonov-o-nedvizhimosti/ca-250618-kak-zashchitit-nedvizh.</w:t>
        </w:r>
      </w:hyperlink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highlight w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9.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Вопросы использования НСПД для оказания муниципальных услуг обсуждены в Новосибирской области.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27 апреля в р.п. Сузун Новосибирской области состоялась рабочая встреча заместителя руководителя Управления Росреестра по Новосибирской области Ивана Пархоменко с представителями администрации Сузунского муниципального округа Новосибирской области.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Обсужд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ены вопросы наполнения Единого государственного реестра недвижимости (ЕГРН) полными и точными сведениями об объектах недвижимости и установлению границ земельных участков.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Так, в отношении 75,1% объектов недвижимости в Сузунском муниципальном округе грани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цы установлены.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Проекты Росреестра «Земля для стройки» и «Земля для туризма» в Новосибирской области работают уже почти пять лет. В р.п. Сузун выявлено 0,8 га земли для строительства жилья, выявлено 10 объектов туристического интереса, некоторые из них им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еют мировую известность. Наличие свободных земельных участков дает возможность для привлечения инвестиций и развития района в целом.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Особое внимание в ходе встречи было уделено вопросам реализации государственной программы Российской Федерации «Национальн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ая система пространственных данных» (НСПД).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Иван Пархоменко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продемонстрировал работу четырех электронных сервисов: «Градостроительная проработка онлайн», «Мои объекты недвижимости», «Земля просто» и «Земля для стройки».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Заместитель руководителя Управления обратил внимание, что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«с 2026 года органы местного самоуправления Новосибирской области должны использовать возможности единой цифровой платформы «НСПД» для оказания населению муниципальных услуг»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Первый заместитель главы администрации Сузунского муниципального округа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Евгений Киль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выразил благодарность новосибирскому Росреестру: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«Администрация Сузунского муниципального округа благодарит Управление Росреестра по Новосибирской области за проведенную встречу. Полученная информация была крайне полезна и будет активно применяться в нашей дальнейшей работе. Мы ценим возможность такого 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заимодействия для повышения эффективности нашей деятельности»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Ранее в мэрии города Новосибирска состоялась рабочая встреча представителей Управления Росреестра и департамента земельных и имущественных отношений мэрии города Новосибирска, где рассматривались вопросы реализации НСПД.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10.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Безопасность сделок с недвижимостью: способы защиты прав и актуальные проблемы.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Управлении Росреестра по Новосибирской области состоялось заседание коллегии по вопросам обеспечения безопасности в сфере оборота недвижимости. В совещании приняли участие руководство Управления Росреестра по Новосибирской области и филиала ППК «Роскадас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тр» по Новосибирской области, представители Общественного совета при Управлении, ГАУ НСО «МФЦ», кредитной организации, риелторского сообщества и правоохранительных органов.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Руководитель Управления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Светлана Рягузова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 приветственном слове подчеркнула динамичное развитие сферы недвижимости: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«Сегодня регистрация сделок занимает считанные часы и минуты. Ежедневно новосибирский Росреестр в среднем регистрирует порядка 1,5 тысяч сделок. Объемы постоянно увеличиваются,  поэтому крайне важно, чтобы  специалисты в сфере недвижимости обеспечивали вы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сокое качество предварительной проверки документов»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Мероприятие прошло в формате дискуссии по актуальным вопросам зашиты недвижимости от мошеннических действий, была дана оценка  эффективности мер, предпринимаемых специалистами различных отраслей в сфере оборота недвижимости.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Наталья Ивчатова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заместитель руководителя Управления, в своем выступлении акцентировала внимание на важности принятия решений, способствующих максимальному обеспечению безопасности сделок с недвижимостью. Представлены меры, направленные на повышение качества проведения п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равовой экспертизы государственными регистраторами прав и на тщательную проверку законности сделок.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Ключевые моменты, озвученные в докладе заместителя руководителя Управления: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с 2016 года Управлением выявлено 70 фактов фальсификации документов, информац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ия по ним была направлена в правоохранительные органы;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наибольшее число подделок приходится на так называемые «старые» бумажные документы, права на которые возникли до 30.10.2001;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с 2018 года новосибирцы внесли в ЕГРН более 70,5 тысяч отметок о невозмо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жности регистрации прав без личного участия собственника. В 2026 году ежедневно поступает более 100 заявлений, что в 2 раза больше, чем год назад;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новосибирский Росреестр успешно реализует в рамках правовой экспертизы комплекс мер по предупреждению и пре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сечению мошеннических действий: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проверку сведений в порядке межведомственного взаимодействия;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проведение информационной кампании, в рамках которой осуществляется информирование заявителей о способах защиты жилья от мошенников.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И.о. руководителя ГАУ НСО «МФЦ»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Юлия Полякова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рассказала о действиях сотрудников МФЦ перед приемом документов для оказания государственных услуг Росреестра в целях выявления и пресечения мошеннических действий.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Директор ООО «Квадротека Инвест», член Общественного совета при Управлении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Владимир Колобков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представители Ассоциации «Национальное Объединение Агентств Недвижимости»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Анна Фоменко и Татьяна Матвеева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поделились опытом риэлторского сообщества по обеспечению безопасности сделок на этапе их заключения и рассказали о нюансах сделок с недвижимостью. В работе риэлторы используют официальные источники информации, запрашивают необходимые справки и выписки для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проверки объектов недвижимости и отсутствия задолженностей у продавца. Обсуждение позволило сделать важные выводы о совместных мерах по защите прав граждан.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Представитель банковской сферы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Сергей Буянов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директор направления ипотечного кредитования и развития сервисов Домклик Сибирского банка ПАО «Сбербанк» рассказал о сервисах, позволяющих обеспечить защиту сделок и расчетов: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«Безопасность сделок является ключевым аспектом при работе с гражданами и организациями. Приоритетное внимание направлено на цифровизацию сделок с недвижимостью. Идентификация клиентов осуществляется банком не только через Госуслуги, но и с помощью мобильн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ого приложения «Госключ» – это наиболее технологичный и безопасный способ. Автоматизация процессов, непрерывное обучение сотрудников, а также взаимодействие с правоохранительными органами и професиональным сообществом способствуют развитию электронных серв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исов и делают услуги по оформлению недвижимости в электронном виде доступными для большинства пользователей»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 1 июля 2026 года в России будет внедрена обязательная биометрическая идентификация через Единую биометрическую систему при подаче документов в Росреестр в электронном виде. Это решение направлено на защиту от мошенничества, добавляя второй фактор защи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ты к усиленной квалифицированной электронной подписи.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Председатель Общественного совета при Управлении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Надежда Вивилина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 подвела итоги дискуссии: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«В этом году деятельность Общественного совета при Управлении совместно с региональным Росреестром состредоточена на обеспечении безопасности всех взаимоотношений государства и граждан в сфере недвижимости. Особое внимание стоит уделять формированию общест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венного мнения. Новосибирский Росреестр активно работает над устранением устоявшихся стереотипов и повышением правовой грамотности населения»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Заседание коллегии Управления Росреестра по Новосибирской области стало не только площадкой для обмена мнениями и опытом, получения новых знаний и возможностей участников рынка недвижимости, но и формирования законодательных инициатив в целях обеспечени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я безопасности сделок, исходя из современных вызовов.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11.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Новосибирская область активно развивает туризм.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Новосибирская область продолжает реализацию проекта «Земля для туризма». Выявлено 64 земельных участка и территории, 87 объектов туристического интереса, инвестиции в которые приведут к увеличению турпотока региона.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Новосибирская область активно развивает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туризм, делая ставку на разнообразие видов отдыха и событийную программу. В 2026 году регион ожидает турпоток более 3 миллионов человек, что связано с реализацией национального проекта «Туризм и гостеприимство» и поддержкой предпринимателей, создающих нов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ые зоны отдыха. В оборот вовлечен свободный земельный участок в районе поселка Каинская Заимка Барышевского сельсовета Новосибирского района Новосибирской области, площадью 36,5 га.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Информацию о свободных земельных участках в рамках проекта «Земля для тур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изма» можно посмотреть на Публичной кадастровой карте Национальной системы пространственных данных — единой цифровой платформы пространственных данных, в сервисе «Земля для туризма» (nspd.gov.ru). 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12.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Почти тысяча памятников в Новосибирской области учтены в реестре недвижимости.</w:t>
      </w:r>
      <w:r>
        <w:rPr>
          <w:rFonts w:eastAsia="Times New Roman"/>
          <w:b/>
          <w:bCs/>
          <w14:ligatures w14:val="none"/>
        </w:rPr>
      </w:r>
      <w:r>
        <w:rPr>
          <w:rFonts w:eastAsia="Times New Roman"/>
          <w:b/>
          <w:bCs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преддверии 81-летия Великой Победы новосибирский Росреестр рассказывает о памятниках и мемориалах, поставленных на государственный кадастровый учет.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Новосибирской области 998 памятников поставлены на государственный кадастровый учет и внесены в Единый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государственный реестр недвижимости, 669 из них созданы в честь сибиряков - защитников Отечества и тружеников тыла.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Всего в регионе расположено более тысячи памятников и других мемориальных объектов, посвященных Великой Отечественной войне.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В рамках про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екта по наполнению реестра недвижимости полными и точными сведениями Управление Росреестра по Новосибирской области провело большую работу по сверке данных об объектах культурного наследия, в число которых входят памятники и мемориалы, увековечивающие подв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иг советского народа в годы войны.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«На сегодняшний день все памятники и мемориальные комплексы, признанные объектами культурного наследия, внесены в Единый государственный реестр недвижимости (ЕГРН)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, – сообщила руководитель Управления Росреестра по Новосибирской области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Светлана Рягузова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. -  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Наличие таких сведений в реестре недвижимости дает возможность не только четко закрепить правовой статус объекта, но и сохранить историческую память для будущих поколений».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13.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80 лет Новосибирскому региональному отделению Русского географического общества</w: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Новосибирское отделение Русского географического общества отмечает 80-летие.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Р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егиональное отделение РГО создано 18 мая 1946 года, объединяет географов, научных работников, специалистов в области смежных наук, энтузиастов-путешественников, экологов, общественных деятелей – всех, кто стремится узнавать новое о России, кто готов помога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ть сохранению ее природных богатств.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Сегодня, как и 80 лет назад - это люди, готовые исследовать, защищать и рассказывать о родной земле.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«Новосибирское отделение продолжает развивать краеведение, образовательный туризм, сохранять природу и культурное наследие, содействовать популяризации географических знаний и развитию геоинформационных технологий. Особое внимание уделяется молодежным прое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ктам, экспедициям, сотрудничеству с организациями и учебными заведениями», - сообщил председатель Новосибирского регионального отделения Русского географического общества, генеральный директор компании «Дата Ист» Вячеслав Ананьев. 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 2023 года с региональным отделением Русского географического общества сотрудничает новосибирский Росреестр. Популяризации знаний о географии, сохранении исторического и культурного наследия страны способствует реализация совместных проектов и просветитель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ских мероприятий: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фотовыставка «Самая красивая страна»,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выставка «Новосибирская область: познавай, исследуй, строй!» – экспозиция о Новосибирской области, ее богатой природе, научном и промышленном потенциале, о деятельности Росреестра и истории его становления на территории Новосибирской области;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- участие в проектах «НЕурок географии», «NAUKA0+», «Географический диктант».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«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Подобные мероприятия являются одним из элементов патриотического воспитания, развития общегеографической культуры. Выражаем благодарность Новосибирскому областному отделению Русского географического общества за совместную работу», - отметила заместитель ру</w:t>
      </w: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ководителя Управления Росреестра по Новосибирской области, член Русского географического общества Наталья Зайцева.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shd w:val="clear" w:color="auto" w:fill="ffffff"/>
          <w:lang w:eastAsia="ru-RU"/>
        </w:rPr>
        <w:t xml:space="preserve">Поздравляем членов Новосибирского регионального отделения Русского географического общества с юбилейной датой! Желаем новых исследований и великих открытий!</w:t>
      </w:r>
      <w:r>
        <w:rPr>
          <w:rFonts w:eastAsia="Times New Roman"/>
          <w:b w:val="0"/>
          <w:bCs w:val="0"/>
          <w:lang w:eastAsia="ru-RU"/>
          <w14:ligatures w14:val="none"/>
        </w:rPr>
      </w:r>
      <w:r>
        <w:rPr>
          <w:rFonts w:eastAsia="Times New Roman"/>
          <w:b w:val="0"/>
          <w:bCs w:val="0"/>
          <w:lang w:eastAsia="ru-RU"/>
          <w14:ligatures w14:val="none"/>
        </w:rPr>
      </w:r>
    </w:p>
    <w:p>
      <w:pPr>
        <w:ind w:left="0" w:right="0" w:firstLine="709"/>
        <w:spacing w:before="0" w:after="0"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shd w:val="clear" w:color="auto" w:fill="ffffff"/>
          <w:lang w:eastAsia="ru-RU"/>
        </w:rPr>
        <w:t xml:space="preserve">14. 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В Новосибирской области зафиксировано более 37 000 обращений о запрете совершения сделок без личного участия</w:t>
      </w:r>
      <w:r>
        <w:rPr>
          <w:rFonts w:eastAsia="Times New Roman"/>
          <w:b/>
          <w:bCs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С начала 2026 года в новосибирском Росреестре зафиксировано максимальное количество поступивших заявлений - 37 819.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 Новосибирской области продолжает увеличиваться количество обращений в Росреестр о запрете регистрации сделок без личного участия собственника.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«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Это один из способов защиты от мошенников, которые порой совершают сделки с недвижимостью без желания собственников. При наличии отметки о запрете сделок без личного участия такой вид мошенничества исключен», - отметила заместитель руководителя новосибирск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ого Росреестра Наталья Ивчатова.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Запрет на совершение сделок без личного участия означает, что любые действия с квартирой, домом, участком или другой недвижимостью могут быть выполнены только самим владельцем лично.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З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аявление о запрете регистрации сделок без личного участия может подать правообладатель или его законный представитель посредством официального сайта Росреестра, через личный кабинет на портале Госуслуг или при личном обращении в МФЦ. Услуга предоставляется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бесплатно, сведения вносятся в Единый государственный реестр недвижимости в течение 5 рабочих дней с момента поступления заявления.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15. </w:t>
      </w: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День открытых дверей для садоводов</w:t>
      </w: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Д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ень открытых дверей Росреестра для садоводов – это мероприятие, на котором специалисты ведомства отвечают на вопросы граждан, связанные с оформлением недвижимости, кадастровым учётом, законодательными изменениями и другими аспектами. Такие события помогают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разъяснить сложные вопросы и упростить взаимодействие граждан с органами Росреестра.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апреле и мае 2026 года специалисты Управления Росреестра по Новосибирской области отвечали на вопросы об оформлении недвижимости в целях включения в программу социальной газификации. Граждане получили информацию об условиях участия в программе догазификац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ии, а также о документах, необходимых для оформления жилых домов и земельных участков, находящихся в садовых товариществах в границах газифицированных населённых пунктов.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Большой интерес вызвали вопросы неиспользования участков в садовом обществе и нецелевого их использования, порядок обращений за устранением выявленных нарушений.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Все обратившиеся граждане получили квалифицированные ответы на вопросы, а также разработанные новосибирским Росреестром информационные листовки.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ажно отметить, что тема, касающаяся программы социальной догазификации садовых товариществах, вызывает у граждан много вопросов, поэтому Росреестр разработал тематический путеводитель, посредством которого можно ознакомиться с основными шагами для участия 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 программе социальной догазификац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ии. Путеводитель доступен по ссылке – </w:t>
      </w:r>
      <w:hyperlink r:id="rId30" w:tooltip="https://rosreestr.gov.ru/upload/Doc/informatsiya/Шаги_для_догазификации_жилых_домов_в_СНТ.pdf" w:history="1">
        <w:r>
          <w:rPr>
            <w:rFonts w:eastAsia="Times New Roman"/>
            <w:b w:val="0"/>
            <w:bCs w:val="0"/>
            <w:highlight w:val="none"/>
            <w:shd w:val="clear" w:color="auto" w:fill="ffffff"/>
            <w:lang w:eastAsia="ru-RU"/>
          </w:rPr>
          <w:t xml:space="preserve">https://rosreestr.gov.ru/upload/Doc/informatsiya/Шаги_для_догазификации_жилых_домов_в_СНТ.pdf</w:t>
        </w:r>
      </w:hyperlink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По итогам мероприятия 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был проведён опрос участников. Все респонденты остались удовлетворены мероприятием.Такая форма обратной связи помогает нам стать лучше.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/>
          <w:bCs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16. </w:t>
      </w: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Круглый стол Новосибирского Росреестра состоялся в рамках форума «ГЕО-Сибирь 2026»</w:t>
      </w:r>
      <w:r>
        <w:rPr>
          <w:rFonts w:eastAsia="Times New Roman"/>
          <w:b/>
          <w:bCs/>
          <w:highlight w:val="none"/>
          <w:shd w:val="clear" w:color="auto" w:fill="ffffff"/>
          <w:lang w:eastAsia="ru-RU"/>
        </w:rPr>
        <w:t xml:space="preserve">.</w:t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  <w:r>
        <w:rPr>
          <w:rFonts w:eastAsia="Times New Roman"/>
          <w:b/>
          <w:bCs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2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0-21 мая 2026 года в Новосибирске на площадке МВК «Новосибирск Экспоцентр» состоялась XXII Международная выставка и научный конгресс «Интерэкспо ГЕО-Сибирь 2026» - крупнейшее отраслевое событие в области геодезии, картографии, геологии, геоинформатики и ди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станционного зондирования. Главой темой форума стали вопросы экономики пространственных данных.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рамках деловой программы Управлением Росреестра по Новосибирской области организован круглый стол на тему «Национальная система пространственных данных и искусственный интеллект: пространство возможностей». В мероприятии приняли участие свыше 150 специали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стов – представителей органов власти и местного самоуправления, территориальных органов Росреестра более 10 регионов страны, эксперты по геоинформационным системам, представители профильных учебных заведений.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М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одератором встречи выступила руководитель новосибирского Росреестра Светлана Рягузова, в числе экспертов – начальник Управления стратегического развития и цифровой трансформации Росреестра Сергей Белокопытов, заместитель начальника отдела кадастрового учет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и государственной регистрации недвижимости Департамента природных, земельных отношений и агропромышленного комплекса Правительства Российской Федерации Владимир Гребнев, заместитель министра цифрового развития и связи Новосибирской области Павел Жучков, з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аведующий кафедрой управления развитием территорий Новосибирского государственного университета архитектуры, дизайна и искусств им. А.Д. Крячкова Сергей Новокшонов.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ходе круглого стола рассмотрены вопросы развития Единой цифровой платформы «Национальная система пространственных данных» (НСПД) в эпоху развития генеративного искусственного интеллекта (ИИ), влияния современных технологий на принятие эффективных решений 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 сфере земельно-имущественных отношений, управления большими данными, повышения производительности труда.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Р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осреестр является активным участником внедрения технологий ИИ. Начальник Управления стратегического развития и цифровой трансформации Росреестра Сергей Белокопытов рассказал об использовании ведомством инструментов, позволивших не только ускорить процессы 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оказания услуг, но и повысить качество данных, способствуя оперативному решению приоритетных задач – цифровой помощник регистратора «Ева» и цифровой сервис «Умный кадастр». 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У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никальные проекты по внедрению технологий ИИ в Новосибирская область уже показали свою эффективность, регион входит в тройку регионов – лидеров цифровой трансформации в стране. Заместитель министра цифрового развития и связи Новосибирской области Павел Жуч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ков продемонстрировал возможности платформы «ГосИИ», благодаря которой удалось автоматизировать рутинные процессы государственных и муниципальных служащих региона.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«Искусственный интеллект в госуправлении – это не замена человека, а способ убрать рутину, сократить лишние операции и сделать решения понятными для граждан. Ответственность за принятие решений остается за человеком», - отметил Павел Жучков.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Молодые сотрудники новосибирского Росреестра представили свои проекты по использованию технологий ИИ в работе ведомства.</w:t>
      </w:r>
      <w:r/>
    </w:p>
    <w:p>
      <w:pPr>
        <w:ind w:firstLine="709"/>
        <w:jc w:val="both"/>
        <w:spacing w:after="0" w:line="252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Александра Атякшина предложила расширить использование региональной платформы «ГосИИ» для автоматизации подготовки ответов на обращения граждан, поступающих в новосибирский Росреестр в электронном виде.</w:t>
      </w:r>
      <w:r/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Д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митрий Лещинский в рамках развития НСПД предложил разработать новый слой для понятной визуализации на карте результатов проведения земельного контроля (надзора), что позволит  оперативно получать полную информацию о проведенных мероприятиях и их решениях к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ак инспекторам по использованию и охране земель, органам власти и местного самоуправления, так и владельцам земельных участков.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опросы цифровизации территориального планирования в Российской Федерации и тенденции развития в системе больших данных осветил в своем докладе заведующий кафедрой управления развитием территорий Новосибирского государственного университета архитектуры, диз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йна и искусств им. А.Д. Крячкова Сергей Новокшонов:  «Цифровизация территориального планирования в Российской Федерации входит в новый этап. Речь идет уже не только о создании информационных систем и наполнении их данными, а о формировании единой управленч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е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ской среды, где стратегические цели, пространственные решения, земельно-имущественные сведения, градостроительные ограничения и показатели мониторинга должны быть связаны между собой. Главная тенденция ближайших лет – переход от цифрового хранения документ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ов к цифровому сопровождению управленческого решения».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В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 заключении эксперты обсудили актуальные вопросы подготовки специалистов, работающих с технологиями ИИ. Иван Пархоменко, заместитель руководителя Управления Росреестра по Новосибирской области, и Владимир Обиденко, проректор по среднему профессиональному о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б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разованию Сибирского государственного университета геосистем и технологий – директор Новосибирского техникума геодезии и картографии отметили, что современные специалисты должны обладать навыками работы с данными и цифровой грамотностью, иметь бизнес-мышле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ние, уметь видеть, где применение искусственного интеллекта приносит реальную пользу, а также понимать связанные с ним риски и вопросы безопасности.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З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авершая встречу, Светлана Рягузова отметила важность межведомственного обмена опытом и совместной проработки новых решений: «Наша дискуссия получилась содержательной и многогранной. Особенно ценно, что представители разных ведомств объединяются для обсужде</w:t>
      </w: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  <w:t xml:space="preserve">ния темы, актуальной для всех участников. Совместная работа и обмен идеями позволяют находить наиболее результативные решения, повышать эффективность взаимодействия и расширять возможности применения современных цифровых инструментов».</w:t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  <w:r>
        <w:rPr>
          <w:rFonts w:eastAsia="Times New Roman"/>
          <w:b w:val="0"/>
          <w:bCs w:val="0"/>
          <w:highlight w:val="none"/>
          <w:lang w:eastAsia="ru-RU"/>
          <w14:ligatures w14:val="none"/>
        </w:rPr>
      </w:r>
    </w:p>
    <w:p>
      <w:pPr>
        <w:ind w:firstLine="709"/>
        <w:jc w:val="both"/>
        <w:spacing w:after="0" w:line="252" w:lineRule="auto"/>
        <w:rPr>
          <w:rFonts w:eastAsia="Times New Roman"/>
          <w:b w:val="0"/>
          <w:bCs w:val="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/>
          <w:b w:val="0"/>
          <w:bCs w:val="0"/>
          <w:highlight w:val="none"/>
          <w:shd w:val="clear" w:color="auto" w:fill="ffffff"/>
          <w:lang w:eastAsia="ru-RU"/>
        </w:rPr>
      </w:r>
      <w:r>
        <w:rPr>
          <w:rFonts w:eastAsia="Times New Roman"/>
          <w:b w:val="0"/>
          <w:bCs w:val="0"/>
          <w14:ligatures w14:val="none"/>
        </w:rPr>
      </w:r>
      <w:r>
        <w:rPr>
          <w:rFonts w:eastAsia="Times New Roman"/>
          <w:b w:val="0"/>
          <w:bCs w:val="0"/>
          <w14:ligatures w14:val="none"/>
        </w:rPr>
      </w:r>
    </w:p>
    <w:p>
      <w:pPr>
        <w:ind w:left="0" w:right="0" w:firstLine="709"/>
        <w:spacing w:before="0" w:after="0" w:line="240" w:lineRule="auto"/>
        <w:rPr>
          <w:b w:val="0"/>
          <w:bCs w:val="0"/>
          <w:color w:val="000000" w:themeColor="text1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b w:val="0"/>
          <w:bCs w:val="0"/>
          <w:color w:val="000000" w:themeColor="text1"/>
          <w14:ligatures w14:val="none"/>
        </w:rPr>
      </w:r>
      <w:r>
        <w:rPr>
          <w:b w:val="0"/>
          <w:bCs w:val="0"/>
          <w:color w:val="000000" w:themeColor="text1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 Light">
    <w:panose1 w:val="020F0502020204030204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7"/>
      <w:jc w:val="center"/>
      <w:rPr>
        <w:color w:val="auto"/>
        <w:highlight w:val="none"/>
      </w:rPr>
    </w:pPr>
    <w:fldSimple w:instr="PAGE \* MERGEFORMAT">
      <w:r>
        <w:rPr>
          <w:color w:val="auto"/>
        </w:rPr>
        <w:t xml:space="preserve">1</w:t>
      </w:r>
    </w:fldSimple>
    <w:r>
      <w:rPr>
        <w:color w:val="auto"/>
      </w:rPr>
    </w:r>
    <w:r>
      <w:rPr>
        <w:color w:val="auto"/>
        <w:highlight w:val="none"/>
      </w:rPr>
    </w:r>
    <w:r>
      <w:rPr>
        <w:color w:val="auto"/>
        <w:highlight w:val="none"/>
      </w:rPr>
    </w:r>
  </w:p>
  <w:p>
    <w:pPr>
      <w:pStyle w:val="997"/>
      <w:jc w:val="center"/>
    </w:pPr>
    <w:r>
      <w:rPr>
        <w:color w:val="auto"/>
        <w:highlight w:val="none"/>
      </w:rPr>
    </w:r>
    <w:r>
      <w:rPr>
        <w:color w:val="auto"/>
        <w:highlight w:val="none"/>
      </w:rPr>
    </w:r>
    <w:r/>
  </w:p>
  <w:p>
    <w:pPr>
      <w:pStyle w:val="99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7"/>
      <w:jc w:val="center"/>
      <w:rPr>
        <w:color w:val="ffffff" w:themeColor="background1"/>
      </w:rPr>
    </w:pPr>
    <w:fldSimple w:instr="PAGE \* MERGEFORMAT">
      <w:r>
        <w:rPr>
          <w:color w:val="ffffff" w:themeColor="background1"/>
        </w:rPr>
        <w:t xml:space="preserve">1</w:t>
      </w:r>
    </w:fldSimple>
    <w:r>
      <w:rPr>
        <w:color w:val="ffffff" w:themeColor="background1"/>
      </w:rPr>
    </w:r>
    <w:r>
      <w:rPr>
        <w:color w:val="ffffff" w:themeColor="background1"/>
      </w:rPr>
    </w:r>
    <w:r>
      <w:rPr>
        <w:color w:val="ffffff" w:themeColor="background1"/>
      </w:rPr>
    </w:r>
  </w:p>
  <w:p>
    <w:pPr>
      <w:pStyle w:val="99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1083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74" w:hanging="46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  <w:sz w:val="20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  <w:sz w:val="20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  <w:sz w:val="20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  <w:sz w:val="20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  <w:sz w:val="20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  <w:sz w:val="20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  <w:sz w:val="20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  <w:sz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9"/>
      <w:numFmt w:val="decimal"/>
      <w:isLgl w:val="false"/>
      <w:suff w:val="tab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5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7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44" w:hanging="435"/>
      </w:pPr>
      <w:rPr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15" w:hanging="615"/>
      </w:pPr>
    </w:lvl>
    <w:lvl w:ilvl="1">
      <w:start w:val="1"/>
      <w:numFmt w:val="decimal"/>
      <w:isLgl w:val="false"/>
      <w:suff w:val="tab"/>
      <w:lvlText w:val="%2."/>
      <w:lvlJc w:val="left"/>
      <w:pPr>
        <w:ind w:left="1951" w:hanging="720"/>
      </w:pPr>
      <w:rPr>
        <w:rFonts w:ascii="Times New Roman" w:hAnsi="Times New Roman" w:eastAsia="Calibri" w:cs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182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4773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004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59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186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17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008" w:hanging="216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63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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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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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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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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7">
      <w:start w:val="1"/>
      <w:numFmt w:val="bullet"/>
      <w:isLgl w:val="false"/>
      <w:suff w:val="tab"/>
      <w:lvlText w:val="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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"/>
      <w:lvlJc w:val="left"/>
      <w:pPr>
        <w:ind w:left="720" w:hanging="360"/>
        <w:tabs>
          <w:tab w:val="num" w:pos="720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"/>
      <w:lvlJc w:val="left"/>
      <w:pPr>
        <w:ind w:left="1440" w:hanging="360"/>
        <w:tabs>
          <w:tab w:val="num" w:pos="1440" w:leader="none"/>
        </w:tabs>
      </w:pPr>
      <w:rPr>
        <w:rFonts w:hint="default" w:ascii="Wingdings" w:hAnsi="Wingdings"/>
      </w:rPr>
    </w:lvl>
    <w:lvl w:ilvl="2">
      <w:start w:val="1"/>
      <w:numFmt w:val="bullet"/>
      <w:isLgl w:val="false"/>
      <w:suff w:val="tab"/>
      <w:lvlText w:val="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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</w:rPr>
    </w:lvl>
    <w:lvl w:ilvl="4">
      <w:start w:val="1"/>
      <w:numFmt w:val="bullet"/>
      <w:isLgl w:val="false"/>
      <w:suff w:val="tab"/>
      <w:lvlText w:val="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</w:rPr>
    </w:lvl>
    <w:lvl w:ilvl="5">
      <w:start w:val="1"/>
      <w:numFmt w:val="bullet"/>
      <w:isLgl w:val="false"/>
      <w:suff w:val="tab"/>
      <w:lvlText w:val="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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</w:rPr>
    </w:lvl>
    <w:lvl w:ilvl="7">
      <w:start w:val="1"/>
      <w:numFmt w:val="bullet"/>
      <w:isLgl w:val="false"/>
      <w:suff w:val="tab"/>
      <w:lvlText w:val="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</w:rPr>
    </w:lvl>
    <w:lvl w:ilvl="8">
      <w:start w:val="1"/>
      <w:numFmt w:val="bullet"/>
      <w:isLgl w:val="false"/>
      <w:suff w:val="tab"/>
      <w:lvlText w:val="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26"/>
  </w:num>
  <w:num w:numId="3">
    <w:abstractNumId w:val="30"/>
  </w:num>
  <w:num w:numId="4">
    <w:abstractNumId w:val="16"/>
  </w:num>
  <w:num w:numId="5">
    <w:abstractNumId w:val="28"/>
  </w:num>
  <w:num w:numId="6">
    <w:abstractNumId w:val="21"/>
  </w:num>
  <w:num w:numId="7">
    <w:abstractNumId w:val="17"/>
  </w:num>
  <w:num w:numId="8">
    <w:abstractNumId w:val="14"/>
  </w:num>
  <w:num w:numId="9">
    <w:abstractNumId w:val="35"/>
  </w:num>
  <w:num w:numId="10">
    <w:abstractNumId w:val="19"/>
  </w:num>
  <w:num w:numId="11">
    <w:abstractNumId w:val="11"/>
  </w:num>
  <w:num w:numId="12">
    <w:abstractNumId w:val="33"/>
  </w:num>
  <w:num w:numId="13">
    <w:abstractNumId w:val="3"/>
  </w:num>
  <w:num w:numId="14">
    <w:abstractNumId w:val="1"/>
  </w:num>
  <w:num w:numId="15">
    <w:abstractNumId w:val="5"/>
  </w:num>
  <w:num w:numId="16">
    <w:abstractNumId w:val="12"/>
  </w:num>
  <w:num w:numId="17">
    <w:abstractNumId w:val="24"/>
  </w:num>
  <w:num w:numId="18">
    <w:abstractNumId w:val="25"/>
  </w:num>
  <w:num w:numId="19">
    <w:abstractNumId w:val="22"/>
  </w:num>
  <w:num w:numId="20">
    <w:abstractNumId w:val="20"/>
  </w:num>
  <w:num w:numId="21">
    <w:abstractNumId w:val="31"/>
  </w:num>
  <w:num w:numId="22">
    <w:abstractNumId w:val="32"/>
  </w:num>
  <w:num w:numId="23">
    <w:abstractNumId w:val="2"/>
  </w:num>
  <w:num w:numId="24">
    <w:abstractNumId w:val="10"/>
  </w:num>
  <w:num w:numId="25">
    <w:abstractNumId w:val="6"/>
  </w:num>
  <w:num w:numId="26">
    <w:abstractNumId w:val="13"/>
  </w:num>
  <w:num w:numId="27">
    <w:abstractNumId w:val="7"/>
  </w:num>
  <w:num w:numId="28">
    <w:abstractNumId w:val="23"/>
  </w:num>
  <w:num w:numId="29">
    <w:abstractNumId w:val="4"/>
  </w:num>
  <w:num w:numId="30">
    <w:abstractNumId w:val="34"/>
  </w:num>
  <w:num w:numId="31">
    <w:abstractNumId w:val="29"/>
  </w:num>
  <w:num w:numId="32">
    <w:abstractNumId w:val="27"/>
  </w:num>
  <w:num w:numId="33">
    <w:abstractNumId w:val="15"/>
  </w:num>
  <w:num w:numId="34">
    <w:abstractNumId w:val="9"/>
  </w:num>
  <w:num w:numId="35">
    <w:abstractNumId w:val="0"/>
  </w:num>
  <w:num w:numId="36">
    <w:abstractNumId w:val="18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19">
    <w:name w:val="Heading 1 Char"/>
    <w:basedOn w:val="990"/>
    <w:link w:val="987"/>
    <w:uiPriority w:val="9"/>
    <w:rPr>
      <w:rFonts w:ascii="Arial" w:hAnsi="Arial" w:eastAsia="Arial" w:cs="Arial"/>
      <w:sz w:val="40"/>
      <w:szCs w:val="40"/>
    </w:rPr>
  </w:style>
  <w:style w:type="character" w:styleId="820">
    <w:name w:val="Heading 2 Char"/>
    <w:basedOn w:val="990"/>
    <w:link w:val="988"/>
    <w:uiPriority w:val="9"/>
    <w:rPr>
      <w:rFonts w:ascii="Arial" w:hAnsi="Arial" w:eastAsia="Arial" w:cs="Arial"/>
      <w:sz w:val="34"/>
    </w:rPr>
  </w:style>
  <w:style w:type="character" w:styleId="821">
    <w:name w:val="Heading 3 Char"/>
    <w:basedOn w:val="990"/>
    <w:link w:val="989"/>
    <w:uiPriority w:val="9"/>
    <w:rPr>
      <w:rFonts w:ascii="Arial" w:hAnsi="Arial" w:eastAsia="Arial" w:cs="Arial"/>
      <w:sz w:val="30"/>
      <w:szCs w:val="30"/>
    </w:rPr>
  </w:style>
  <w:style w:type="paragraph" w:styleId="822">
    <w:name w:val="Heading 4"/>
    <w:basedOn w:val="986"/>
    <w:next w:val="986"/>
    <w:link w:val="8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23">
    <w:name w:val="Heading 4 Char"/>
    <w:basedOn w:val="990"/>
    <w:link w:val="822"/>
    <w:uiPriority w:val="9"/>
    <w:rPr>
      <w:rFonts w:ascii="Arial" w:hAnsi="Arial" w:eastAsia="Arial" w:cs="Arial"/>
      <w:b/>
      <w:bCs/>
      <w:sz w:val="26"/>
      <w:szCs w:val="26"/>
    </w:rPr>
  </w:style>
  <w:style w:type="paragraph" w:styleId="824">
    <w:name w:val="Heading 5"/>
    <w:basedOn w:val="986"/>
    <w:next w:val="986"/>
    <w:link w:val="8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25">
    <w:name w:val="Heading 5 Char"/>
    <w:basedOn w:val="990"/>
    <w:link w:val="824"/>
    <w:uiPriority w:val="9"/>
    <w:rPr>
      <w:rFonts w:ascii="Arial" w:hAnsi="Arial" w:eastAsia="Arial" w:cs="Arial"/>
      <w:b/>
      <w:bCs/>
      <w:sz w:val="24"/>
      <w:szCs w:val="24"/>
    </w:rPr>
  </w:style>
  <w:style w:type="paragraph" w:styleId="826">
    <w:name w:val="Heading 6"/>
    <w:basedOn w:val="986"/>
    <w:next w:val="986"/>
    <w:link w:val="8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27">
    <w:name w:val="Heading 6 Char"/>
    <w:basedOn w:val="990"/>
    <w:link w:val="826"/>
    <w:uiPriority w:val="9"/>
    <w:rPr>
      <w:rFonts w:ascii="Arial" w:hAnsi="Arial" w:eastAsia="Arial" w:cs="Arial"/>
      <w:b/>
      <w:bCs/>
      <w:sz w:val="22"/>
      <w:szCs w:val="22"/>
    </w:rPr>
  </w:style>
  <w:style w:type="paragraph" w:styleId="828">
    <w:name w:val="Heading 7"/>
    <w:basedOn w:val="986"/>
    <w:next w:val="986"/>
    <w:link w:val="8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29">
    <w:name w:val="Heading 7 Char"/>
    <w:basedOn w:val="990"/>
    <w:link w:val="8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0">
    <w:name w:val="Heading 8"/>
    <w:basedOn w:val="986"/>
    <w:next w:val="986"/>
    <w:link w:val="8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31">
    <w:name w:val="Heading 8 Char"/>
    <w:basedOn w:val="990"/>
    <w:link w:val="830"/>
    <w:uiPriority w:val="9"/>
    <w:rPr>
      <w:rFonts w:ascii="Arial" w:hAnsi="Arial" w:eastAsia="Arial" w:cs="Arial"/>
      <w:i/>
      <w:iCs/>
      <w:sz w:val="22"/>
      <w:szCs w:val="22"/>
    </w:rPr>
  </w:style>
  <w:style w:type="paragraph" w:styleId="832">
    <w:name w:val="Heading 9"/>
    <w:basedOn w:val="986"/>
    <w:next w:val="986"/>
    <w:link w:val="8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33">
    <w:name w:val="Heading 9 Char"/>
    <w:basedOn w:val="990"/>
    <w:link w:val="832"/>
    <w:uiPriority w:val="9"/>
    <w:rPr>
      <w:rFonts w:ascii="Arial" w:hAnsi="Arial" w:eastAsia="Arial" w:cs="Arial"/>
      <w:i/>
      <w:iCs/>
      <w:sz w:val="21"/>
      <w:szCs w:val="21"/>
    </w:rPr>
  </w:style>
  <w:style w:type="paragraph" w:styleId="834">
    <w:name w:val="Title"/>
    <w:basedOn w:val="986"/>
    <w:next w:val="986"/>
    <w:link w:val="8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35">
    <w:name w:val="Title Char"/>
    <w:basedOn w:val="990"/>
    <w:link w:val="834"/>
    <w:uiPriority w:val="10"/>
    <w:rPr>
      <w:sz w:val="48"/>
      <w:szCs w:val="48"/>
    </w:rPr>
  </w:style>
  <w:style w:type="paragraph" w:styleId="836">
    <w:name w:val="Subtitle"/>
    <w:basedOn w:val="986"/>
    <w:next w:val="986"/>
    <w:link w:val="837"/>
    <w:uiPriority w:val="11"/>
    <w:qFormat/>
    <w:pPr>
      <w:spacing w:before="200" w:after="200"/>
    </w:pPr>
    <w:rPr>
      <w:sz w:val="24"/>
      <w:szCs w:val="24"/>
    </w:rPr>
  </w:style>
  <w:style w:type="character" w:styleId="837">
    <w:name w:val="Subtitle Char"/>
    <w:basedOn w:val="990"/>
    <w:link w:val="836"/>
    <w:uiPriority w:val="11"/>
    <w:rPr>
      <w:sz w:val="24"/>
      <w:szCs w:val="24"/>
    </w:rPr>
  </w:style>
  <w:style w:type="paragraph" w:styleId="838">
    <w:name w:val="Quote"/>
    <w:basedOn w:val="986"/>
    <w:next w:val="986"/>
    <w:link w:val="839"/>
    <w:uiPriority w:val="29"/>
    <w:qFormat/>
    <w:pPr>
      <w:ind w:left="720" w:right="720"/>
    </w:pPr>
    <w:rPr>
      <w:i/>
    </w:rPr>
  </w:style>
  <w:style w:type="character" w:styleId="839">
    <w:name w:val="Quote Char"/>
    <w:link w:val="838"/>
    <w:uiPriority w:val="29"/>
    <w:rPr>
      <w:i/>
    </w:rPr>
  </w:style>
  <w:style w:type="paragraph" w:styleId="840">
    <w:name w:val="Intense Quote"/>
    <w:basedOn w:val="986"/>
    <w:next w:val="986"/>
    <w:link w:val="8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41">
    <w:name w:val="Intense Quote Char"/>
    <w:link w:val="840"/>
    <w:uiPriority w:val="30"/>
    <w:rPr>
      <w:i/>
    </w:rPr>
  </w:style>
  <w:style w:type="character" w:styleId="842">
    <w:name w:val="Header Char"/>
    <w:basedOn w:val="990"/>
    <w:link w:val="997"/>
    <w:uiPriority w:val="99"/>
  </w:style>
  <w:style w:type="character" w:styleId="843">
    <w:name w:val="Footer Char"/>
    <w:basedOn w:val="990"/>
    <w:link w:val="1023"/>
    <w:uiPriority w:val="99"/>
  </w:style>
  <w:style w:type="paragraph" w:styleId="844">
    <w:name w:val="Caption"/>
    <w:basedOn w:val="986"/>
    <w:next w:val="986"/>
    <w:link w:val="84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45">
    <w:name w:val="Caption Char"/>
    <w:basedOn w:val="844"/>
    <w:link w:val="1023"/>
    <w:uiPriority w:val="99"/>
  </w:style>
  <w:style w:type="table" w:styleId="846">
    <w:name w:val="Table Grid Light"/>
    <w:basedOn w:val="9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47">
    <w:name w:val="Plain Table 1"/>
    <w:basedOn w:val="9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8">
    <w:name w:val="Plain Table 2"/>
    <w:basedOn w:val="99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49">
    <w:name w:val="Plain Table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0">
    <w:name w:val="Plain Table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>
    <w:name w:val="Plain Table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2">
    <w:name w:val="Grid Table 1 Light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>
    <w:name w:val="Grid Table 1 Light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>
    <w:name w:val="Grid Table 1 Light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>
    <w:name w:val="Grid Table 1 Light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Grid Table 1 Light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Grid Table 1 Light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Grid Table 1 Light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Grid Table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>
    <w:name w:val="Grid Table 2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>
    <w:name w:val="Grid Table 2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2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2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Grid Table 2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2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3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Grid Table 3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Grid Table 3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Grid Table 3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Grid Table 3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Grid Table 3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4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4">
    <w:name w:val="Grid Table 4 - Accent 1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75">
    <w:name w:val="Grid Table 4 - Accent 2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76">
    <w:name w:val="Grid Table 4 - Accent 3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77">
    <w:name w:val="Grid Table 4 - Accent 4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78">
    <w:name w:val="Grid Table 4 - Accent 5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79">
    <w:name w:val="Grid Table 4 - Accent 6"/>
    <w:basedOn w:val="9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80">
    <w:name w:val="Grid Table 5 Dark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81">
    <w:name w:val="Grid Table 5 Dark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82">
    <w:name w:val="Grid Table 5 Dark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83">
    <w:name w:val="Grid Table 5 Dark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4">
    <w:name w:val="Grid Table 5 Dark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5">
    <w:name w:val="Grid Table 5 Dark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6">
    <w:name w:val="Grid Table 5 Dark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7">
    <w:name w:val="Grid Table 6 Colorful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88">
    <w:name w:val="Grid Table 6 Colorful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89">
    <w:name w:val="Grid Table 6 Colorful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90">
    <w:name w:val="Grid Table 6 Colorful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91">
    <w:name w:val="Grid Table 6 Colorful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92">
    <w:name w:val="Grid Table 6 Colorful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3">
    <w:name w:val="Grid Table 6 Colorful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94">
    <w:name w:val="Grid Table 7 Colorful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Grid Table 7 Colorful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Grid Table 7 Colorful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Grid Table 7 Colorful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Grid Table 7 Colorful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Grid Table 7 Colorful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7 Colorful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List Table 1 Light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>
    <w:name w:val="List Table 1 Light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>
    <w:name w:val="List Table 1 Light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>
    <w:name w:val="List Table 1 Light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>
    <w:name w:val="List Table 1 Light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>
    <w:name w:val="List Table 1 Light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>
    <w:name w:val="List Table 1 Light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List Table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09">
    <w:name w:val="List Table 2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10">
    <w:name w:val="List Table 2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11">
    <w:name w:val="List Table 2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12">
    <w:name w:val="List Table 2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13">
    <w:name w:val="List Table 2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14">
    <w:name w:val="List Table 2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15">
    <w:name w:val="List Table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List Table 3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List Table 3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List Table 3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List Table 3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List Table 3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List Table 3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List Table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4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List Table 4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>
    <w:name w:val="List Table 4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>
    <w:name w:val="List Table 4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>
    <w:name w:val="List Table 4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>
    <w:name w:val="List Table 4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5 Dark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0">
    <w:name w:val="List Table 5 Dark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1">
    <w:name w:val="List Table 5 Dark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2">
    <w:name w:val="List Table 5 Dark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3">
    <w:name w:val="List Table 5 Dark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4">
    <w:name w:val="List Table 5 Dark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5">
    <w:name w:val="List Table 5 Dark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36">
    <w:name w:val="List Table 6 Colorful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37">
    <w:name w:val="List Table 6 Colorful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38">
    <w:name w:val="List Table 6 Colorful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39">
    <w:name w:val="List Table 6 Colorful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40">
    <w:name w:val="List Table 6 Colorful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41">
    <w:name w:val="List Table 6 Colorful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42">
    <w:name w:val="List Table 6 Colorful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43">
    <w:name w:val="List Table 7 Colorful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44">
    <w:name w:val="List Table 7 Colorful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45">
    <w:name w:val="List Table 7 Colorful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46">
    <w:name w:val="List Table 7 Colorful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47">
    <w:name w:val="List Table 7 Colorful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48">
    <w:name w:val="List Table 7 Colorful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49">
    <w:name w:val="List Table 7 Colorful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50">
    <w:name w:val="Lined - Accent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1">
    <w:name w:val="Lined - Accent 1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2">
    <w:name w:val="Lined - Accent 2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53">
    <w:name w:val="Lined - Accent 3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54">
    <w:name w:val="Lined - Accent 4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55">
    <w:name w:val="Lined - Accent 5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56">
    <w:name w:val="Lined - Accent 6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57">
    <w:name w:val="Bordered &amp; Lined - Accent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58">
    <w:name w:val="Bordered &amp; Lined - Accent 1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59">
    <w:name w:val="Bordered &amp; Lined - Accent 2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60">
    <w:name w:val="Bordered &amp; Lined - Accent 3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61">
    <w:name w:val="Bordered &amp; Lined - Accent 4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62">
    <w:name w:val="Bordered &amp; Lined - Accent 5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63">
    <w:name w:val="Bordered &amp; Lined - Accent 6"/>
    <w:basedOn w:val="9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64">
    <w:name w:val="Bordered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65">
    <w:name w:val="Bordered - Accent 1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66">
    <w:name w:val="Bordered - Accent 2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67">
    <w:name w:val="Bordered - Accent 3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68">
    <w:name w:val="Bordered - Accent 4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69">
    <w:name w:val="Bordered - Accent 5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70">
    <w:name w:val="Bordered - Accent 6"/>
    <w:basedOn w:val="9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71">
    <w:name w:val="Footnote Text Char"/>
    <w:link w:val="1004"/>
    <w:uiPriority w:val="99"/>
    <w:rPr>
      <w:sz w:val="18"/>
    </w:rPr>
  </w:style>
  <w:style w:type="paragraph" w:styleId="972">
    <w:name w:val="endnote text"/>
    <w:basedOn w:val="986"/>
    <w:link w:val="973"/>
    <w:uiPriority w:val="99"/>
    <w:semiHidden/>
    <w:unhideWhenUsed/>
    <w:pPr>
      <w:spacing w:after="0" w:line="240" w:lineRule="auto"/>
    </w:pPr>
    <w:rPr>
      <w:sz w:val="20"/>
    </w:rPr>
  </w:style>
  <w:style w:type="character" w:styleId="973">
    <w:name w:val="Endnote Text Char"/>
    <w:link w:val="972"/>
    <w:uiPriority w:val="99"/>
    <w:rPr>
      <w:sz w:val="20"/>
    </w:rPr>
  </w:style>
  <w:style w:type="character" w:styleId="974">
    <w:name w:val="endnote reference"/>
    <w:basedOn w:val="990"/>
    <w:uiPriority w:val="99"/>
    <w:semiHidden/>
    <w:unhideWhenUsed/>
    <w:rPr>
      <w:vertAlign w:val="superscript"/>
    </w:rPr>
  </w:style>
  <w:style w:type="paragraph" w:styleId="975">
    <w:name w:val="toc 1"/>
    <w:basedOn w:val="986"/>
    <w:next w:val="986"/>
    <w:uiPriority w:val="39"/>
    <w:unhideWhenUsed/>
    <w:pPr>
      <w:ind w:left="0" w:right="0" w:firstLine="0"/>
      <w:spacing w:after="57"/>
    </w:pPr>
  </w:style>
  <w:style w:type="paragraph" w:styleId="976">
    <w:name w:val="toc 2"/>
    <w:basedOn w:val="986"/>
    <w:next w:val="986"/>
    <w:uiPriority w:val="39"/>
    <w:unhideWhenUsed/>
    <w:pPr>
      <w:ind w:left="283" w:right="0" w:firstLine="0"/>
      <w:spacing w:after="57"/>
    </w:pPr>
  </w:style>
  <w:style w:type="paragraph" w:styleId="977">
    <w:name w:val="toc 3"/>
    <w:basedOn w:val="986"/>
    <w:next w:val="986"/>
    <w:uiPriority w:val="39"/>
    <w:unhideWhenUsed/>
    <w:pPr>
      <w:ind w:left="567" w:right="0" w:firstLine="0"/>
      <w:spacing w:after="57"/>
    </w:pPr>
  </w:style>
  <w:style w:type="paragraph" w:styleId="978">
    <w:name w:val="toc 4"/>
    <w:basedOn w:val="986"/>
    <w:next w:val="986"/>
    <w:uiPriority w:val="39"/>
    <w:unhideWhenUsed/>
    <w:pPr>
      <w:ind w:left="850" w:right="0" w:firstLine="0"/>
      <w:spacing w:after="57"/>
    </w:pPr>
  </w:style>
  <w:style w:type="paragraph" w:styleId="979">
    <w:name w:val="toc 5"/>
    <w:basedOn w:val="986"/>
    <w:next w:val="986"/>
    <w:uiPriority w:val="39"/>
    <w:unhideWhenUsed/>
    <w:pPr>
      <w:ind w:left="1134" w:right="0" w:firstLine="0"/>
      <w:spacing w:after="57"/>
    </w:pPr>
  </w:style>
  <w:style w:type="paragraph" w:styleId="980">
    <w:name w:val="toc 6"/>
    <w:basedOn w:val="986"/>
    <w:next w:val="986"/>
    <w:uiPriority w:val="39"/>
    <w:unhideWhenUsed/>
    <w:pPr>
      <w:ind w:left="1417" w:right="0" w:firstLine="0"/>
      <w:spacing w:after="57"/>
    </w:pPr>
  </w:style>
  <w:style w:type="paragraph" w:styleId="981">
    <w:name w:val="toc 7"/>
    <w:basedOn w:val="986"/>
    <w:next w:val="986"/>
    <w:uiPriority w:val="39"/>
    <w:unhideWhenUsed/>
    <w:pPr>
      <w:ind w:left="1701" w:right="0" w:firstLine="0"/>
      <w:spacing w:after="57"/>
    </w:pPr>
  </w:style>
  <w:style w:type="paragraph" w:styleId="982">
    <w:name w:val="toc 8"/>
    <w:basedOn w:val="986"/>
    <w:next w:val="986"/>
    <w:uiPriority w:val="39"/>
    <w:unhideWhenUsed/>
    <w:pPr>
      <w:ind w:left="1984" w:right="0" w:firstLine="0"/>
      <w:spacing w:after="57"/>
    </w:pPr>
  </w:style>
  <w:style w:type="paragraph" w:styleId="983">
    <w:name w:val="toc 9"/>
    <w:basedOn w:val="986"/>
    <w:next w:val="986"/>
    <w:uiPriority w:val="39"/>
    <w:unhideWhenUsed/>
    <w:pPr>
      <w:ind w:left="2268" w:right="0" w:firstLine="0"/>
      <w:spacing w:after="57"/>
    </w:pPr>
  </w:style>
  <w:style w:type="paragraph" w:styleId="984">
    <w:name w:val="TOC Heading"/>
    <w:uiPriority w:val="39"/>
    <w:unhideWhenUsed/>
  </w:style>
  <w:style w:type="paragraph" w:styleId="985">
    <w:name w:val="table of figures"/>
    <w:basedOn w:val="986"/>
    <w:next w:val="986"/>
    <w:uiPriority w:val="99"/>
    <w:unhideWhenUsed/>
    <w:pPr>
      <w:spacing w:after="0" w:afterAutospacing="0"/>
    </w:pPr>
  </w:style>
  <w:style w:type="paragraph" w:styleId="986" w:default="1">
    <w:name w:val="Normal"/>
    <w:qFormat/>
    <w:pPr>
      <w:contextualSpacing/>
      <w:ind w:firstLine="708"/>
      <w:jc w:val="both"/>
      <w:spacing w:line="240" w:lineRule="auto"/>
    </w:pPr>
    <w:rPr>
      <w:rFonts w:ascii="Times New Roman" w:hAnsi="Times New Roman" w:eastAsia="Calibri" w:cs="Times New Roman"/>
      <w:b/>
      <w:bCs/>
      <w:color w:val="000000"/>
      <w:sz w:val="28"/>
      <w:szCs w:val="28"/>
      <w:shd w:val="clear" w:color="ffffff" w:themeColor="background1" w:fill="ffffff" w:themeFill="background1"/>
    </w:rPr>
  </w:style>
  <w:style w:type="paragraph" w:styleId="987">
    <w:name w:val="Heading 1"/>
    <w:basedOn w:val="986"/>
    <w:link w:val="993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88">
    <w:name w:val="Heading 2"/>
    <w:basedOn w:val="986"/>
    <w:next w:val="986"/>
    <w:link w:val="1010"/>
    <w:uiPriority w:val="9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989">
    <w:name w:val="Heading 3"/>
    <w:basedOn w:val="986"/>
    <w:next w:val="986"/>
    <w:link w:val="1031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990" w:default="1">
    <w:name w:val="Default Paragraph Font"/>
    <w:uiPriority w:val="1"/>
    <w:semiHidden/>
    <w:unhideWhenUsed/>
  </w:style>
  <w:style w:type="table" w:styleId="9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92" w:default="1">
    <w:name w:val="No List"/>
    <w:uiPriority w:val="99"/>
    <w:semiHidden/>
    <w:unhideWhenUsed/>
  </w:style>
  <w:style w:type="character" w:styleId="993" w:customStyle="1">
    <w:name w:val="Заголовок 1 Знак"/>
    <w:basedOn w:val="990"/>
    <w:link w:val="987"/>
    <w:uiPriority w:val="9"/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994" w:customStyle="1">
    <w:name w:val="ConsPlusNormal"/>
    <w:link w:val="995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995" w:customStyle="1">
    <w:name w:val="ConsPlusNormal Знак"/>
    <w:basedOn w:val="990"/>
    <w:link w:val="994"/>
    <w:rPr>
      <w:rFonts w:ascii="Arial" w:hAnsi="Arial" w:eastAsia="Times New Roman" w:cs="Arial"/>
      <w:sz w:val="20"/>
      <w:szCs w:val="20"/>
      <w:lang w:eastAsia="ru-RU"/>
    </w:rPr>
  </w:style>
  <w:style w:type="character" w:styleId="996">
    <w:name w:val="Hyperlink"/>
    <w:basedOn w:val="990"/>
    <w:unhideWhenUsed/>
    <w:rPr>
      <w:color w:val="0000ff"/>
      <w:u w:val="single"/>
    </w:rPr>
  </w:style>
  <w:style w:type="paragraph" w:styleId="997">
    <w:name w:val="Header"/>
    <w:basedOn w:val="986"/>
    <w:link w:val="998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98" w:customStyle="1">
    <w:name w:val="Верхний колонтитул Знак"/>
    <w:basedOn w:val="990"/>
    <w:link w:val="997"/>
    <w:uiPriority w:val="99"/>
    <w:rPr>
      <w:rFonts w:ascii="Times New Roman" w:hAnsi="Times New Roman" w:eastAsia="Calibri" w:cs="Times New Roman"/>
      <w:bCs/>
      <w:color w:val="000000"/>
      <w:sz w:val="24"/>
      <w:szCs w:val="24"/>
      <w:lang w:eastAsia="ru-RU"/>
    </w:rPr>
  </w:style>
  <w:style w:type="character" w:styleId="999" w:customStyle="1">
    <w:name w:val="title1"/>
    <w:basedOn w:val="990"/>
  </w:style>
  <w:style w:type="paragraph" w:styleId="1000">
    <w:name w:val="Balloon Text"/>
    <w:basedOn w:val="986"/>
    <w:link w:val="100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01" w:customStyle="1">
    <w:name w:val="Текст выноски Знак"/>
    <w:basedOn w:val="990"/>
    <w:link w:val="1000"/>
    <w:uiPriority w:val="99"/>
    <w:semiHidden/>
    <w:rPr>
      <w:rFonts w:ascii="Tahoma" w:hAnsi="Tahoma" w:cs="Tahoma"/>
      <w:sz w:val="16"/>
      <w:szCs w:val="16"/>
    </w:rPr>
  </w:style>
  <w:style w:type="paragraph" w:styleId="1002">
    <w:name w:val="Normal (Web)"/>
    <w:basedOn w:val="986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03">
    <w:name w:val="Table Grid"/>
    <w:basedOn w:val="9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04">
    <w:name w:val="footnote text"/>
    <w:basedOn w:val="986"/>
    <w:link w:val="1005"/>
    <w:uiPriority w:val="99"/>
    <w:unhideWhenUsed/>
    <w:pPr>
      <w:spacing w:after="0" w:line="240" w:lineRule="auto"/>
    </w:pPr>
    <w:rPr>
      <w:sz w:val="20"/>
      <w:szCs w:val="20"/>
    </w:rPr>
  </w:style>
  <w:style w:type="character" w:styleId="1005" w:customStyle="1">
    <w:name w:val="Текст сноски Знак"/>
    <w:basedOn w:val="990"/>
    <w:link w:val="1004"/>
    <w:uiPriority w:val="99"/>
    <w:rPr>
      <w:sz w:val="20"/>
      <w:szCs w:val="20"/>
    </w:rPr>
  </w:style>
  <w:style w:type="character" w:styleId="1006">
    <w:name w:val="footnote reference"/>
    <w:basedOn w:val="990"/>
    <w:uiPriority w:val="99"/>
    <w:unhideWhenUsed/>
    <w:rPr>
      <w:vertAlign w:val="superscript"/>
    </w:rPr>
  </w:style>
  <w:style w:type="paragraph" w:styleId="1007">
    <w:name w:val="List Paragraph"/>
    <w:basedOn w:val="986"/>
    <w:uiPriority w:val="34"/>
    <w:qFormat/>
    <w:pPr>
      <w:contextualSpacing/>
      <w:ind w:left="720"/>
      <w:spacing w:after="160" w:line="259" w:lineRule="auto"/>
    </w:pPr>
  </w:style>
  <w:style w:type="paragraph" w:styleId="1008">
    <w:name w:val="Body Text"/>
    <w:basedOn w:val="986"/>
    <w:link w:val="1009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character" w:styleId="1009" w:customStyle="1">
    <w:name w:val="Основной текст Знак"/>
    <w:basedOn w:val="990"/>
    <w:link w:val="1008"/>
    <w:uiPriority w:val="1"/>
    <w:rPr>
      <w:rFonts w:ascii="Times New Roman" w:hAnsi="Times New Roman" w:eastAsia="Times New Roman" w:cs="Times New Roman"/>
      <w:sz w:val="28"/>
      <w:szCs w:val="28"/>
    </w:rPr>
  </w:style>
  <w:style w:type="character" w:styleId="1010" w:customStyle="1">
    <w:name w:val="Заголовок 2 Знак"/>
    <w:basedOn w:val="990"/>
    <w:link w:val="988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1011" w:customStyle="1">
    <w:name w:val="Абзац списка1"/>
    <w:basedOn w:val="986"/>
    <w:pPr>
      <w:contextualSpacing/>
      <w:ind w:left="720"/>
      <w:spacing w:after="0" w:line="240" w:lineRule="auto"/>
    </w:pPr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1012">
    <w:name w:val="Strong"/>
    <w:basedOn w:val="990"/>
    <w:uiPriority w:val="22"/>
    <w:qFormat/>
    <w:rPr>
      <w:b/>
      <w:bCs/>
    </w:rPr>
  </w:style>
  <w:style w:type="character" w:styleId="1013" w:customStyle="1">
    <w:name w:val="news__arrowdesktop"/>
    <w:basedOn w:val="990"/>
  </w:style>
  <w:style w:type="paragraph" w:styleId="1014" w:customStyle="1">
    <w:name w:val="align_center"/>
    <w:basedOn w:val="98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5" w:customStyle="1">
    <w:name w:val="no-indent"/>
    <w:basedOn w:val="98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6">
    <w:name w:val="No Spacing"/>
    <w:link w:val="1029"/>
    <w:uiPriority w:val="1"/>
    <w:qFormat/>
    <w:pPr>
      <w:spacing w:after="0" w:line="240" w:lineRule="auto"/>
    </w:pPr>
  </w:style>
  <w:style w:type="character" w:styleId="1017" w:customStyle="1">
    <w:name w:val="Текст примечания Знак"/>
    <w:basedOn w:val="990"/>
    <w:link w:val="1018"/>
    <w:uiPriority w:val="99"/>
    <w:semiHidden/>
    <w:rPr>
      <w:sz w:val="20"/>
      <w:szCs w:val="20"/>
    </w:rPr>
  </w:style>
  <w:style w:type="paragraph" w:styleId="1018">
    <w:name w:val="annotation text"/>
    <w:basedOn w:val="986"/>
    <w:link w:val="1017"/>
    <w:uiPriority w:val="99"/>
    <w:semiHidden/>
    <w:unhideWhenUsed/>
    <w:pPr>
      <w:spacing w:after="160" w:line="240" w:lineRule="auto"/>
    </w:pPr>
    <w:rPr>
      <w:sz w:val="20"/>
      <w:szCs w:val="20"/>
    </w:rPr>
  </w:style>
  <w:style w:type="character" w:styleId="1019" w:customStyle="1">
    <w:name w:val="Текст примечания Знак1"/>
    <w:basedOn w:val="990"/>
    <w:uiPriority w:val="99"/>
    <w:semiHidden/>
    <w:rPr>
      <w:sz w:val="20"/>
      <w:szCs w:val="20"/>
    </w:rPr>
  </w:style>
  <w:style w:type="character" w:styleId="1020" w:customStyle="1">
    <w:name w:val="Тема примечания Знак"/>
    <w:basedOn w:val="1017"/>
    <w:link w:val="1021"/>
    <w:uiPriority w:val="99"/>
    <w:semiHidden/>
    <w:rPr>
      <w:b/>
      <w:bCs/>
      <w:sz w:val="20"/>
      <w:szCs w:val="20"/>
    </w:rPr>
  </w:style>
  <w:style w:type="paragraph" w:styleId="1021">
    <w:name w:val="annotation subject"/>
    <w:basedOn w:val="1018"/>
    <w:next w:val="1018"/>
    <w:link w:val="1020"/>
    <w:uiPriority w:val="99"/>
    <w:semiHidden/>
    <w:unhideWhenUsed/>
    <w:rPr>
      <w:b/>
      <w:bCs/>
    </w:rPr>
  </w:style>
  <w:style w:type="character" w:styleId="1022" w:customStyle="1">
    <w:name w:val="Тема примечания Знак1"/>
    <w:basedOn w:val="1019"/>
    <w:uiPriority w:val="99"/>
    <w:semiHidden/>
    <w:rPr>
      <w:b/>
      <w:bCs/>
      <w:sz w:val="20"/>
      <w:szCs w:val="20"/>
    </w:rPr>
  </w:style>
  <w:style w:type="paragraph" w:styleId="1023">
    <w:name w:val="Footer"/>
    <w:basedOn w:val="986"/>
    <w:link w:val="102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24" w:customStyle="1">
    <w:name w:val="Нижний колонтитул Знак"/>
    <w:basedOn w:val="990"/>
    <w:link w:val="1023"/>
    <w:uiPriority w:val="99"/>
  </w:style>
  <w:style w:type="paragraph" w:styleId="1025" w:customStyle="1">
    <w:name w:val="Style4"/>
    <w:basedOn w:val="986"/>
    <w:uiPriority w:val="99"/>
    <w:pPr>
      <w:ind w:firstLine="845"/>
      <w:jc w:val="both"/>
      <w:spacing w:after="0" w:line="323" w:lineRule="exact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styleId="1026" w:customStyle="1">
    <w:name w:val="Font Style20"/>
    <w:basedOn w:val="990"/>
    <w:uiPriority w:val="99"/>
    <w:rPr>
      <w:rFonts w:ascii="Times New Roman" w:hAnsi="Times New Roman" w:cs="Times New Roman"/>
      <w:sz w:val="26"/>
      <w:szCs w:val="26"/>
    </w:rPr>
  </w:style>
  <w:style w:type="paragraph" w:styleId="1027" w:customStyle="1">
    <w:name w:val="Style8"/>
    <w:basedOn w:val="986"/>
    <w:uiPriority w:val="99"/>
    <w:pPr>
      <w:jc w:val="both"/>
      <w:spacing w:after="0" w:line="240" w:lineRule="auto"/>
      <w:widowControl w:val="off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1028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character" w:styleId="1029" w:customStyle="1">
    <w:name w:val="Без интервала Знак"/>
    <w:link w:val="1016"/>
    <w:uiPriority w:val="1"/>
  </w:style>
  <w:style w:type="paragraph" w:styleId="1030" w:customStyle="1">
    <w:name w:val="Style11"/>
    <w:basedOn w:val="986"/>
    <w:uiPriority w:val="99"/>
    <w:pPr>
      <w:jc w:val="both"/>
      <w:spacing w:after="0" w:line="371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31" w:customStyle="1">
    <w:name w:val="Заголовок 3 Знак"/>
    <w:basedOn w:val="990"/>
    <w:link w:val="989"/>
    <w:uiPriority w:val="9"/>
    <w:semiHidden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1032" w:customStyle="1">
    <w:name w:val="Style17"/>
    <w:basedOn w:val="986"/>
    <w:uiPriority w:val="99"/>
    <w:pPr>
      <w:ind w:firstLine="706"/>
      <w:jc w:val="both"/>
      <w:spacing w:after="0" w:line="370" w:lineRule="exact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33" w:customStyle="1">
    <w:name w:val="u"/>
    <w:basedOn w:val="98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34" w:customStyle="1">
    <w:name w:val="Сетка таблицы1"/>
    <w:basedOn w:val="991"/>
    <w:next w:val="1003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35" w:customStyle="1">
    <w:name w:val="Абзац списка"/>
    <w:uiPriority w:val="34"/>
    <w:qFormat/>
    <w:pPr>
      <w:contextualSpacing/>
      <w:ind w:left="72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36" w:customStyle="1">
    <w:name w:val="Обычный (веб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37" w:customStyle="1">
    <w:name w:val="Текст сноски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ru-RU" w:bidi="ar-SA"/>
      <w14:ligatures w14:val="none"/>
    </w:rPr>
  </w:style>
  <w:style w:type="character" w:styleId="1038" w:customStyle="1">
    <w:name w:val="Знак сноски"/>
    <w:uiPriority w:val="99"/>
    <w:semiHidden/>
    <w:rPr>
      <w:vertAlign w:val="superscript"/>
    </w:rPr>
  </w:style>
  <w:style w:type="paragraph" w:styleId="1039" w:customStyle="1">
    <w:name w:val="Style1"/>
    <w:uiPriority w:val="99"/>
    <w:pPr>
      <w:contextualSpacing w:val="0"/>
      <w:ind w:left="0" w:right="0" w:firstLine="713"/>
      <w:jc w:val="both"/>
      <w:keepLines w:val="0"/>
      <w:keepNext w:val="0"/>
      <w:pageBreakBefore w:val="0"/>
      <w:spacing w:before="0" w:beforeAutospacing="0" w:after="0" w:afterAutospacing="0" w:line="356" w:lineRule="exact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0" w:customStyle="1">
    <w:name w:val="Default"/>
    <w:next w:val="987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041" w:customStyle="1">
    <w:name w:val="Гиперссылка"/>
    <w:uiPriority w:val="99"/>
    <w:rPr>
      <w:color w:val="0000ff"/>
      <w:u w:val="single"/>
    </w:rPr>
  </w:style>
  <w:style w:type="paragraph" w:styleId="1042" w:customStyle="1">
    <w:name w:val="Без интервала"/>
    <w:next w:val="896"/>
    <w:link w:val="824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43" w:customStyle="1">
    <w:name w:val="Заголовок 3"/>
    <w:uiPriority w:val="9"/>
    <w:unhideWhenUsed/>
    <w:qFormat/>
    <w:pPr>
      <w:contextualSpacing w:val="0"/>
      <w:ind w:left="0" w:right="0" w:firstLine="709"/>
      <w:jc w:val="both"/>
      <w:keepLines w:val="0"/>
      <w:keepNext/>
      <w:pageBreakBefore w:val="0"/>
      <w:spacing w:before="240" w:beforeAutospacing="0" w:after="6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  <w:suppressLineNumbers w:val="0"/>
    </w:pPr>
    <w:rPr>
      <w:rFonts w:ascii="Calibri Light" w:hAnsi="Calibri Light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6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44" w:customStyle="1">
    <w:name w:val="Text body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5" w:customStyle="1">
    <w:name w:val="ConsPlusTitlePage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ahoma" w:hAnsi="Tahoma" w:eastAsia="Times New Roman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6" w:customStyle="1">
    <w:name w:val="Простой Текст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16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hyperlink" Target="https://newsletters.consultant.ru/link/eyJlbWFpbF9pZCI6IjI0NzY2MCIsImNuIjoiMzM1MzpCTEQ6anVyaXN0IiwibGV0dGVyX2lkIjoiMzM1MyIsInVybCI6Imh0dHBzOlwvXC9sb2dpbi5jb25zdWx0YW50LnJ1XC9saW5rXC8_cmVxPWRvYyZiYXNlPUxBVyZuPTUyOTY3OCZkc3Q9MzE5MiZzZW5kPTEiLCJzY29wZSI6IkJMRCJ9.1/" TargetMode="External"/><Relationship Id="rId15" Type="http://schemas.openxmlformats.org/officeDocument/2006/relationships/hyperlink" Target="https://newsletters.consultant.ru/link/eyJlbWFpbF9pZCI6IjI0NzY2MCIsImNuIjoiMzM1MzpCTEQ6anVyaXN0IiwibGV0dGVyX2lkIjoiMzM1MyIsInVybCI6Imh0dHBzOlwvXC9sb2dpbi5jb25zdWx0YW50LnJ1XC9saW5rXC8_cmVxPWRvYyZiYXNlPUxBVyZuPTUyOTY3OCZkc3Q9NDczOCZzZW5kPTEiLCJzY29wZSI6IkJMRCJ9.1/" TargetMode="External"/><Relationship Id="rId16" Type="http://schemas.openxmlformats.org/officeDocument/2006/relationships/hyperlink" Target="https://www.consultant.ru/document/cons_doc_LAW_533691/" TargetMode="External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hyperlink" Target="https://rosreestr.gov.ru/upload/Doc/press/%D0%94%D0%90%D0%A7%D0%9D%D0%90%D0%AF%20%D0%90%D0%9C%D0%9D%D0%98%D0%A1%D0%A2%D0%98%D0%AF%202.0_%D0%A3-11-%20271125.pdf" TargetMode="External"/><Relationship Id="rId21" Type="http://schemas.openxmlformats.org/officeDocument/2006/relationships/hyperlink" Target="https://rosreestr.gov.ru/upload/Doc/press/%D0%94%D0%90%D0%A7%D0%9D%D0%90%D0%AF%20%D0%90%D0%9C%D0%9D%D0%98%D0%A1%D0%A2%D0%98%D0%AF%202.0_%D0%A3-11-%20271125.pdf" TargetMode="External"/><Relationship Id="rId22" Type="http://schemas.openxmlformats.org/officeDocument/2006/relationships/hyperlink" Target="http://www.rosreestr.gov.ru%29/" TargetMode="External"/><Relationship Id="rId23" Type="http://schemas.openxmlformats.org/officeDocument/2006/relationships/hyperlink" Target="http://www.proverki.gov.ru%29/" TargetMode="External"/><Relationship Id="rId24" Type="http://schemas.openxmlformats.org/officeDocument/2006/relationships/hyperlink" Target="https://www.gosuslugi.ru/" TargetMode="External"/><Relationship Id="rId25" Type="http://schemas.openxmlformats.org/officeDocument/2006/relationships/hyperlink" Target="https://rosreestr.gov.ru/" TargetMode="External"/><Relationship Id="rId26" Type="http://schemas.openxmlformats.org/officeDocument/2006/relationships/hyperlink" Target="https://www.gosuslugi.ru/" TargetMode="External"/><Relationship Id="rId27" Type="http://schemas.openxmlformats.org/officeDocument/2006/relationships/hyperlink" Target="https://max.ru/id5406299278_gos/AZ2T_XnPW-w" TargetMode="External"/><Relationship Id="rId28" Type="http://schemas.openxmlformats.org/officeDocument/2006/relationships/hyperlink" Target="https://www.gosuslugi.ru/crt" TargetMode="External"/><Relationship Id="rId29" Type="http://schemas.openxmlformats.org/officeDocument/2006/relationships/hyperlink" Target="https://rosreestr.gov.ru/open-service/obzor-zakonov-o-nedvizhimosti/ca-250618-kak-zashchitit-nedvizhimost-ot-moshennikov/" TargetMode="External"/><Relationship Id="rId30" Type="http://schemas.openxmlformats.org/officeDocument/2006/relationships/hyperlink" Target="https://rosreestr.gov.ru/upload/Doc/informatsiya/&#1064;&#1072;&#1075;&#1080;_&#1076;&#1083;&#1103;_&#1076;&#1086;&#1075;&#1072;&#1079;&#1080;&#1092;&#1080;&#1082;&#1072;&#1094;&#1080;&#1080;_&#1078;&#1080;&#1083;&#1099;&#1093;_&#1076;&#1086;&#1084;&#1086;&#1074;_&#1074;_&#1057;&#1053;&#1058;.pdf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D05F-EA87-412F-94C7-22C86E3B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ziaa</dc:creator>
  <cp:keywords/>
  <dc:description/>
  <cp:revision>90</cp:revision>
  <dcterms:created xsi:type="dcterms:W3CDTF">2023-01-26T03:20:00Z</dcterms:created>
  <dcterms:modified xsi:type="dcterms:W3CDTF">2026-06-05T04:31:52Z</dcterms:modified>
</cp:coreProperties>
</file>